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0FC66" w14:textId="002DF648" w:rsidR="00552510" w:rsidRPr="00062791" w:rsidRDefault="00552510" w:rsidP="00552510">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#115</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R1-230</w:t>
      </w:r>
      <w:r w:rsidR="00EA61F3">
        <w:rPr>
          <w:rFonts w:ascii="Arial" w:hAnsi="Arial" w:cs="Arial"/>
          <w:b/>
          <w:bCs/>
          <w:sz w:val="22"/>
          <w:szCs w:val="22"/>
        </w:rPr>
        <w:t>1686</w:t>
      </w:r>
    </w:p>
    <w:p w14:paraId="325FA800" w14:textId="77777777" w:rsidR="00552510" w:rsidRPr="00062791" w:rsidRDefault="00552510" w:rsidP="00552510">
      <w:pPr>
        <w:tabs>
          <w:tab w:val="center" w:pos="4536"/>
          <w:tab w:val="right" w:pos="9072"/>
        </w:tabs>
        <w:rPr>
          <w:rFonts w:ascii="Arial" w:eastAsia="MS Mincho" w:hAnsi="Arial" w:cs="Arial"/>
          <w:b/>
          <w:bCs/>
          <w:sz w:val="22"/>
          <w:szCs w:val="22"/>
          <w:lang w:eastAsia="ja-JP"/>
        </w:rPr>
      </w:pPr>
      <w:r w:rsidRPr="00062791">
        <w:rPr>
          <w:rFonts w:ascii="Arial" w:eastAsia="MS Mincho" w:hAnsi="Arial" w:cs="Arial"/>
          <w:b/>
          <w:bCs/>
          <w:sz w:val="22"/>
          <w:szCs w:val="22"/>
          <w:lang w:eastAsia="ja-JP"/>
        </w:rPr>
        <w:t>Chicago, USA, November 13</w:t>
      </w:r>
      <w:r w:rsidRPr="00062791">
        <w:rPr>
          <w:rFonts w:ascii="Malgun Gothic" w:eastAsia="Malgun Gothic" w:hAnsi="Malgun Gothic" w:cs="Malgun Gothic" w:hint="eastAsia"/>
          <w:b/>
          <w:bCs/>
          <w:sz w:val="22"/>
          <w:szCs w:val="22"/>
          <w:vertAlign w:val="superscript"/>
          <w:lang w:eastAsia="ko-KR"/>
        </w:rPr>
        <w:t>th</w:t>
      </w:r>
      <w:r w:rsidRPr="00062791">
        <w:rPr>
          <w:rFonts w:ascii="Arial" w:eastAsia="MS Mincho" w:hAnsi="Arial" w:cs="Arial"/>
          <w:b/>
          <w:bCs/>
          <w:sz w:val="22"/>
          <w:szCs w:val="22"/>
          <w:lang w:eastAsia="ja-JP"/>
        </w:rPr>
        <w:t xml:space="preserve"> </w:t>
      </w:r>
      <w:r w:rsidRPr="00062791">
        <w:rPr>
          <w:rFonts w:ascii="Arial" w:hAnsi="Arial" w:cs="Arial"/>
          <w:b/>
          <w:bCs/>
          <w:sz w:val="22"/>
          <w:szCs w:val="22"/>
        </w:rPr>
        <w:t>– November</w:t>
      </w:r>
      <w:r w:rsidRPr="00062791">
        <w:rPr>
          <w:rFonts w:ascii="Arial" w:eastAsia="MS Mincho" w:hAnsi="Arial" w:cs="Arial"/>
          <w:b/>
          <w:bCs/>
          <w:sz w:val="22"/>
          <w:szCs w:val="22"/>
          <w:lang w:eastAsia="ja-JP"/>
        </w:rPr>
        <w:t xml:space="preserve"> 17</w:t>
      </w:r>
      <w:r w:rsidRPr="00062791">
        <w:rPr>
          <w:rFonts w:ascii="Arial" w:eastAsia="MS Mincho" w:hAnsi="Arial" w:cs="Arial"/>
          <w:b/>
          <w:bCs/>
          <w:sz w:val="22"/>
          <w:szCs w:val="22"/>
          <w:vertAlign w:val="superscript"/>
          <w:lang w:eastAsia="ja-JP"/>
        </w:rPr>
        <w:t>th</w:t>
      </w:r>
      <w:r w:rsidRPr="00062791">
        <w:rPr>
          <w:rFonts w:ascii="Arial" w:eastAsia="MS Mincho" w:hAnsi="Arial" w:cs="Arial"/>
          <w:b/>
          <w:bCs/>
          <w:sz w:val="22"/>
          <w:szCs w:val="22"/>
          <w:lang w:eastAsia="ja-JP"/>
        </w:rPr>
        <w:t>, 2023</w:t>
      </w:r>
    </w:p>
    <w:bookmarkEnd w:id="0"/>
    <w:p w14:paraId="64083287" w14:textId="77777777" w:rsidR="00E6195F" w:rsidRPr="00101FE0" w:rsidRDefault="00E6195F" w:rsidP="00E6195F">
      <w:pPr>
        <w:tabs>
          <w:tab w:val="center" w:pos="4536"/>
          <w:tab w:val="right" w:pos="9072"/>
        </w:tabs>
        <w:rPr>
          <w:rFonts w:ascii="Arial" w:eastAsia="MS Mincho" w:hAnsi="Arial" w:cs="Arial"/>
          <w:b/>
          <w:bCs/>
          <w:sz w:val="22"/>
          <w:szCs w:val="22"/>
          <w:lang w:eastAsia="ja-JP"/>
        </w:rPr>
      </w:pPr>
    </w:p>
    <w:p w14:paraId="29874B52" w14:textId="3249E313" w:rsidR="00E6195F" w:rsidRPr="00315C6E" w:rsidRDefault="00E6195F" w:rsidP="00E6195F">
      <w:pPr>
        <w:pStyle w:val="3GPPHeader"/>
        <w:rPr>
          <w:sz w:val="22"/>
          <w:szCs w:val="22"/>
        </w:rPr>
      </w:pPr>
      <w:r w:rsidRPr="00315C6E">
        <w:rPr>
          <w:sz w:val="22"/>
          <w:szCs w:val="22"/>
        </w:rPr>
        <w:t>Agenda Item:</w:t>
      </w:r>
      <w:r w:rsidRPr="00315C6E">
        <w:rPr>
          <w:sz w:val="22"/>
          <w:szCs w:val="22"/>
        </w:rPr>
        <w:tab/>
      </w:r>
      <w:r>
        <w:rPr>
          <w:sz w:val="22"/>
          <w:szCs w:val="22"/>
        </w:rPr>
        <w:t>8.3.4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D2691EF" w:rsidR="00B23EB7" w:rsidRDefault="00B23EB7" w:rsidP="00B23EB7">
      <w:pPr>
        <w:pStyle w:val="3GPPHeader"/>
        <w:rPr>
          <w:sz w:val="22"/>
          <w:szCs w:val="22"/>
        </w:rPr>
      </w:pPr>
      <w:r w:rsidRPr="00315C6E">
        <w:rPr>
          <w:sz w:val="22"/>
          <w:szCs w:val="22"/>
        </w:rPr>
        <w:t>Title:</w:t>
      </w:r>
      <w:r w:rsidRPr="00315C6E">
        <w:rPr>
          <w:sz w:val="22"/>
          <w:szCs w:val="22"/>
        </w:rPr>
        <w:tab/>
      </w:r>
      <w:r w:rsidR="00FF53F9">
        <w:rPr>
          <w:sz w:val="22"/>
          <w:szCs w:val="22"/>
        </w:rPr>
        <w:t xml:space="preserve">Remaining Issues </w:t>
      </w:r>
      <w:r w:rsidR="00E2739E" w:rsidRPr="00E2739E">
        <w:rPr>
          <w:sz w:val="22"/>
          <w:szCs w:val="22"/>
        </w:rPr>
        <w:t>On Bandwidth aggregation for positioning measurements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1238633C" w14:textId="77777777" w:rsidR="006E7EE5" w:rsidRPr="00E2739E" w:rsidRDefault="006E7EE5" w:rsidP="006E7EE5">
      <w:pPr>
        <w:ind w:left="1800"/>
        <w:jc w:val="both"/>
        <w:rPr>
          <w:sz w:val="22"/>
          <w:szCs w:val="22"/>
          <w:lang w:eastAsia="ko-KR"/>
        </w:rPr>
      </w:pPr>
      <w:bookmarkStart w:id="1" w:name="_Hlk58595024"/>
    </w:p>
    <w:p w14:paraId="0544D9A2" w14:textId="183F6EE2" w:rsidR="004A1F1C" w:rsidRPr="00EA61F3" w:rsidRDefault="004A1F1C" w:rsidP="006E7EE5">
      <w:pPr>
        <w:pStyle w:val="0Maintext"/>
        <w:spacing w:after="0" w:afterAutospacing="0" w:line="240" w:lineRule="auto"/>
        <w:ind w:firstLine="0"/>
        <w:rPr>
          <w:rFonts w:eastAsia="SimSun" w:cs="Times New Roman"/>
          <w:sz w:val="24"/>
          <w:szCs w:val="24"/>
          <w:lang w:eastAsia="ja-JP"/>
        </w:rPr>
      </w:pPr>
      <w:r w:rsidRPr="00EA61F3">
        <w:rPr>
          <w:rFonts w:eastAsia="SimSun" w:cs="Times New Roman"/>
          <w:sz w:val="24"/>
          <w:szCs w:val="24"/>
          <w:lang w:eastAsia="ja-JP"/>
        </w:rPr>
        <w:t xml:space="preserve">In this contribution, we address </w:t>
      </w:r>
      <w:r w:rsidR="00A20495" w:rsidRPr="00EA61F3">
        <w:rPr>
          <w:rFonts w:eastAsia="SimSun" w:cs="Times New Roman"/>
          <w:sz w:val="24"/>
          <w:szCs w:val="24"/>
          <w:lang w:val="en-US" w:eastAsia="ja-JP"/>
        </w:rPr>
        <w:t xml:space="preserve">RAN1 focused enhancements for </w:t>
      </w:r>
      <w:r w:rsidR="003F366A" w:rsidRPr="00EA61F3">
        <w:rPr>
          <w:rFonts w:eastAsia="SimSun" w:cs="Times New Roman"/>
          <w:sz w:val="24"/>
          <w:szCs w:val="24"/>
          <w:lang w:val="en-US" w:eastAsia="ja-JP"/>
        </w:rPr>
        <w:t>PRS/SRS bandwidth aggregation</w:t>
      </w:r>
      <w:r w:rsidRPr="00EA61F3">
        <w:rPr>
          <w:rFonts w:eastAsia="SimSun" w:cs="Times New Roman"/>
          <w:sz w:val="24"/>
          <w:szCs w:val="24"/>
          <w:lang w:eastAsia="ja-JP"/>
        </w:rPr>
        <w:t>.</w:t>
      </w:r>
    </w:p>
    <w:p w14:paraId="24EC66D0" w14:textId="0530B83D" w:rsidR="00653CCE" w:rsidRPr="009C7D81" w:rsidRDefault="008A13B7" w:rsidP="001C4DB4">
      <w:pPr>
        <w:pStyle w:val="Heading1"/>
        <w:rPr>
          <w:sz w:val="22"/>
          <w:szCs w:val="22"/>
        </w:rPr>
      </w:pPr>
      <w:r>
        <w:t>Discussion</w:t>
      </w:r>
      <w:bookmarkEnd w:id="1"/>
    </w:p>
    <w:p w14:paraId="50B8CC62" w14:textId="016625B0" w:rsidR="008063EE" w:rsidRDefault="003F366A" w:rsidP="008063EE">
      <w:pPr>
        <w:pStyle w:val="Heading2"/>
        <w:jc w:val="both"/>
      </w:pPr>
      <w:r w:rsidRPr="003F366A">
        <w:rPr>
          <w:lang w:val="en-GB"/>
        </w:rPr>
        <w:t xml:space="preserve">PRS </w:t>
      </w:r>
      <w:r w:rsidR="003406E1">
        <w:rPr>
          <w:lang w:val="en-GB"/>
        </w:rPr>
        <w:t xml:space="preserve">Aggregation: </w:t>
      </w:r>
      <w:r w:rsidR="003406E1">
        <w:rPr>
          <w:bCs/>
          <w:lang w:val="en-GB"/>
        </w:rPr>
        <w:t>Common Transmission</w:t>
      </w:r>
    </w:p>
    <w:p w14:paraId="68BED385" w14:textId="77777777" w:rsidR="00B51D10" w:rsidRDefault="00B51D10" w:rsidP="0040154B">
      <w:pPr>
        <w:tabs>
          <w:tab w:val="left" w:pos="640"/>
        </w:tabs>
        <w:jc w:val="both"/>
        <w:rPr>
          <w:sz w:val="22"/>
          <w:szCs w:val="22"/>
        </w:rPr>
      </w:pPr>
    </w:p>
    <w:p w14:paraId="473C102D" w14:textId="0A274B1F" w:rsidR="00E60105" w:rsidRPr="00EA61F3" w:rsidRDefault="001E13D8" w:rsidP="006E7EE5">
      <w:pPr>
        <w:tabs>
          <w:tab w:val="left" w:pos="640"/>
        </w:tabs>
        <w:jc w:val="both"/>
      </w:pPr>
      <w:r w:rsidRPr="00EA61F3">
        <w:t>Based on the R</w:t>
      </w:r>
      <w:r w:rsidR="00E60105" w:rsidRPr="00EA61F3">
        <w:t>AN4 study RRM assumptions</w:t>
      </w:r>
      <w:r w:rsidRPr="00EA61F3">
        <w:t xml:space="preserve"> and the </w:t>
      </w:r>
      <w:r w:rsidR="00DE30AD" w:rsidRPr="00EA61F3">
        <w:t>existing RAN1</w:t>
      </w:r>
      <w:r w:rsidRPr="00EA61F3">
        <w:t xml:space="preserve"> agreement</w:t>
      </w:r>
      <w:r w:rsidR="00DE30AD" w:rsidRPr="00EA61F3">
        <w:t>s</w:t>
      </w:r>
      <w:r w:rsidRPr="00EA61F3">
        <w:t>, we propose the following:</w:t>
      </w:r>
    </w:p>
    <w:p w14:paraId="3DD90776" w14:textId="4A0021DE" w:rsidR="00E60105" w:rsidRPr="00EA61F3" w:rsidRDefault="00E60105" w:rsidP="006E7EE5">
      <w:pPr>
        <w:tabs>
          <w:tab w:val="left" w:pos="640"/>
        </w:tabs>
        <w:jc w:val="both"/>
      </w:pPr>
    </w:p>
    <w:p w14:paraId="0DA7030A" w14:textId="2016F93E" w:rsidR="00E60105" w:rsidRPr="00EA61F3" w:rsidRDefault="00E60105" w:rsidP="006E7EE5">
      <w:pPr>
        <w:tabs>
          <w:tab w:val="left" w:pos="640"/>
        </w:tabs>
        <w:jc w:val="both"/>
      </w:pPr>
      <w:r w:rsidRPr="00EA61F3">
        <w:t xml:space="preserve">For </w:t>
      </w:r>
      <w:r w:rsidRPr="00EA61F3">
        <w:rPr>
          <w:b/>
          <w:bCs/>
        </w:rPr>
        <w:t>PRS bandwidth aggregation</w:t>
      </w:r>
      <w:r w:rsidR="001E13D8" w:rsidRPr="00EA61F3">
        <w:rPr>
          <w:b/>
          <w:bCs/>
        </w:rPr>
        <w:t xml:space="preserve">, </w:t>
      </w:r>
      <w:r w:rsidR="00E30469" w:rsidRPr="00EA61F3">
        <w:rPr>
          <w:b/>
          <w:bCs/>
        </w:rPr>
        <w:t xml:space="preserve">in two or three different PFLs </w:t>
      </w:r>
      <w:r w:rsidR="001E13D8" w:rsidRPr="00EA61F3">
        <w:t>the  following additional conditions should be satisfied</w:t>
      </w:r>
      <w:r w:rsidRPr="00EA61F3">
        <w:t>:</w:t>
      </w:r>
    </w:p>
    <w:p w14:paraId="4F371521" w14:textId="313F637D" w:rsidR="0084295B" w:rsidRPr="00EA61F3" w:rsidRDefault="0084295B" w:rsidP="00694737">
      <w:pPr>
        <w:pStyle w:val="B1"/>
        <w:numPr>
          <w:ilvl w:val="0"/>
          <w:numId w:val="19"/>
        </w:numPr>
        <w:spacing w:after="0"/>
        <w:rPr>
          <w:sz w:val="24"/>
          <w:szCs w:val="24"/>
          <w:lang w:val="en-US"/>
        </w:rPr>
      </w:pPr>
      <w:r w:rsidRPr="00EA61F3">
        <w:rPr>
          <w:sz w:val="24"/>
          <w:szCs w:val="24"/>
          <w:lang w:val="en-US"/>
        </w:rPr>
        <w:t xml:space="preserve">The condition that the </w:t>
      </w:r>
      <w:proofErr w:type="spellStart"/>
      <w:r w:rsidRPr="00EA61F3">
        <w:rPr>
          <w:sz w:val="24"/>
          <w:szCs w:val="24"/>
          <w:lang w:val="en-US"/>
        </w:rPr>
        <w:t>gNB</w:t>
      </w:r>
      <w:proofErr w:type="spellEnd"/>
      <w:r w:rsidRPr="00EA61F3">
        <w:rPr>
          <w:sz w:val="24"/>
          <w:szCs w:val="24"/>
          <w:lang w:val="en-US"/>
        </w:rPr>
        <w:t xml:space="preserve"> Tx TEG and UE Rx TEG should be the same is not needed. There may need to be some discussion on the maximum </w:t>
      </w:r>
      <w:r w:rsidRPr="00EA61F3">
        <w:rPr>
          <w:bCs/>
          <w:sz w:val="24"/>
          <w:szCs w:val="24"/>
        </w:rPr>
        <w:t xml:space="preserve">TX timing error margin </w:t>
      </w:r>
      <w:r w:rsidRPr="00EA61F3">
        <w:rPr>
          <w:sz w:val="24"/>
          <w:szCs w:val="24"/>
          <w:lang w:val="en-US"/>
        </w:rPr>
        <w:t xml:space="preserve">(possibly in RAN4). In RAN1, we can signal the TEG ID for each of the aggregated PFLs or assign a single TEG ID for the aggregated PFL. </w:t>
      </w:r>
      <w:r w:rsidR="000208B8" w:rsidRPr="00EA61F3">
        <w:rPr>
          <w:sz w:val="24"/>
          <w:szCs w:val="24"/>
          <w:lang w:val="en-US"/>
        </w:rPr>
        <w:t xml:space="preserve">Note that if there is no further discussion on the TEG issue, this conclusion can be assumed as default. </w:t>
      </w:r>
    </w:p>
    <w:p w14:paraId="45D55F13" w14:textId="77777777" w:rsidR="00694737" w:rsidRPr="00EA61F3" w:rsidRDefault="00694737" w:rsidP="00694737">
      <w:pPr>
        <w:pStyle w:val="B1"/>
        <w:spacing w:after="0"/>
        <w:rPr>
          <w:sz w:val="24"/>
          <w:szCs w:val="24"/>
          <w:lang w:val="en-US"/>
        </w:rPr>
      </w:pPr>
    </w:p>
    <w:p w14:paraId="361CE1A0" w14:textId="3EC15CEF" w:rsidR="001027B2" w:rsidRPr="00EA61F3" w:rsidRDefault="001027B2" w:rsidP="001027B2">
      <w:pPr>
        <w:tabs>
          <w:tab w:val="left" w:pos="640"/>
        </w:tabs>
        <w:jc w:val="both"/>
        <w:rPr>
          <w:b/>
          <w:bCs/>
          <w:i/>
          <w:iCs/>
        </w:rPr>
      </w:pPr>
      <w:r w:rsidRPr="00EA61F3">
        <w:rPr>
          <w:b/>
          <w:bCs/>
          <w:i/>
          <w:iCs/>
        </w:rPr>
        <w:t xml:space="preserve">Proposal </w:t>
      </w:r>
      <w:r w:rsidR="003406E1" w:rsidRPr="00EA61F3">
        <w:rPr>
          <w:b/>
          <w:bCs/>
          <w:i/>
          <w:iCs/>
        </w:rPr>
        <w:t>1</w:t>
      </w:r>
      <w:r w:rsidRPr="00EA61F3">
        <w:rPr>
          <w:b/>
          <w:bCs/>
          <w:i/>
          <w:iCs/>
        </w:rPr>
        <w:t xml:space="preserve">: For PRS bandwidth aggregation, the  following additional conditions should be satisfied: </w:t>
      </w:r>
    </w:p>
    <w:p w14:paraId="2AE6B115" w14:textId="7C264A84" w:rsidR="0084295B" w:rsidRPr="00EA61F3" w:rsidRDefault="0084295B" w:rsidP="000208B8">
      <w:pPr>
        <w:pStyle w:val="B1"/>
        <w:numPr>
          <w:ilvl w:val="0"/>
          <w:numId w:val="19"/>
        </w:numPr>
        <w:spacing w:after="0"/>
        <w:rPr>
          <w:sz w:val="24"/>
          <w:szCs w:val="24"/>
          <w:lang w:val="en-US"/>
        </w:rPr>
      </w:pPr>
      <w:r w:rsidRPr="00EA61F3">
        <w:rPr>
          <w:b/>
          <w:bCs/>
          <w:i/>
          <w:iCs/>
          <w:sz w:val="24"/>
          <w:szCs w:val="24"/>
          <w:lang w:val="en-US"/>
        </w:rPr>
        <w:t xml:space="preserve">The condition that the </w:t>
      </w:r>
      <w:proofErr w:type="spellStart"/>
      <w:r w:rsidRPr="00EA61F3">
        <w:rPr>
          <w:b/>
          <w:bCs/>
          <w:i/>
          <w:iCs/>
          <w:sz w:val="24"/>
          <w:szCs w:val="24"/>
          <w:lang w:val="en-US"/>
        </w:rPr>
        <w:t>gNB</w:t>
      </w:r>
      <w:proofErr w:type="spellEnd"/>
      <w:r w:rsidRPr="00EA61F3">
        <w:rPr>
          <w:b/>
          <w:bCs/>
          <w:i/>
          <w:iCs/>
          <w:sz w:val="24"/>
          <w:szCs w:val="24"/>
          <w:lang w:val="en-US"/>
        </w:rPr>
        <w:t xml:space="preserve"> Tx TEG and UE Rx TEG should be the same is not needed</w:t>
      </w:r>
      <w:r w:rsidR="000208B8" w:rsidRPr="00EA61F3">
        <w:rPr>
          <w:b/>
          <w:bCs/>
          <w:i/>
          <w:iCs/>
          <w:sz w:val="24"/>
          <w:szCs w:val="24"/>
          <w:lang w:val="en-US"/>
        </w:rPr>
        <w:t>. Note that if there is no further discussion on the TEG issue, this conclusion can be assumed as default.</w:t>
      </w:r>
      <w:r w:rsidR="000208B8" w:rsidRPr="00EA61F3">
        <w:rPr>
          <w:sz w:val="24"/>
          <w:szCs w:val="24"/>
          <w:lang w:val="en-US"/>
        </w:rPr>
        <w:t xml:space="preserve"> </w:t>
      </w:r>
    </w:p>
    <w:p w14:paraId="58EC86E4" w14:textId="77777777" w:rsidR="00D66A5F" w:rsidRPr="00143B77" w:rsidRDefault="00D66A5F" w:rsidP="0040154B">
      <w:pPr>
        <w:tabs>
          <w:tab w:val="left" w:pos="640"/>
        </w:tabs>
        <w:jc w:val="both"/>
        <w:rPr>
          <w:b/>
          <w:bCs/>
          <w:i/>
          <w:iCs/>
          <w:sz w:val="22"/>
          <w:szCs w:val="22"/>
        </w:rPr>
      </w:pPr>
    </w:p>
    <w:p w14:paraId="7F8CA3BF" w14:textId="5550B15B" w:rsidR="003406E1" w:rsidRDefault="003406E1" w:rsidP="003406E1">
      <w:pPr>
        <w:pStyle w:val="Heading2"/>
        <w:jc w:val="both"/>
      </w:pPr>
      <w:r>
        <w:rPr>
          <w:lang w:val="en-GB"/>
        </w:rPr>
        <w:t>SRS</w:t>
      </w:r>
      <w:r w:rsidRPr="003F366A">
        <w:rPr>
          <w:lang w:val="en-GB"/>
        </w:rPr>
        <w:t xml:space="preserve"> </w:t>
      </w:r>
      <w:r>
        <w:rPr>
          <w:bCs/>
          <w:lang w:val="en-GB"/>
        </w:rPr>
        <w:t>Common Transmission</w:t>
      </w:r>
    </w:p>
    <w:p w14:paraId="53D207B6" w14:textId="77777777" w:rsidR="008F4B56" w:rsidRPr="00FE0720" w:rsidRDefault="008F4B56" w:rsidP="003406E1">
      <w:pPr>
        <w:tabs>
          <w:tab w:val="left" w:pos="640"/>
        </w:tabs>
        <w:jc w:val="both"/>
        <w:rPr>
          <w:sz w:val="22"/>
          <w:szCs w:val="22"/>
        </w:rPr>
      </w:pPr>
    </w:p>
    <w:p w14:paraId="79F1C8FA" w14:textId="6D09F795" w:rsidR="003406E1" w:rsidRPr="00EA61F3" w:rsidRDefault="003406E1" w:rsidP="003406E1">
      <w:pPr>
        <w:tabs>
          <w:tab w:val="left" w:pos="640"/>
        </w:tabs>
        <w:jc w:val="both"/>
      </w:pPr>
      <w:r w:rsidRPr="00EA61F3">
        <w:t>Based on the RAN4 study RRM assumptions and the RAN1 #112</w:t>
      </w:r>
      <w:r w:rsidR="00AA54BA" w:rsidRPr="00EA61F3">
        <w:t>/RAN1 112-bis-e</w:t>
      </w:r>
      <w:r w:rsidRPr="00EA61F3">
        <w:t xml:space="preserve"> agreement</w:t>
      </w:r>
      <w:r w:rsidR="00AA54BA" w:rsidRPr="00EA61F3">
        <w:t>s</w:t>
      </w:r>
      <w:r w:rsidRPr="00EA61F3">
        <w:t>, we propose the following:</w:t>
      </w:r>
    </w:p>
    <w:p w14:paraId="24880F64" w14:textId="77777777" w:rsidR="003406E1" w:rsidRPr="00EA61F3" w:rsidRDefault="003406E1" w:rsidP="00AB1E89">
      <w:pPr>
        <w:pStyle w:val="B1"/>
        <w:spacing w:after="0"/>
        <w:ind w:left="0" w:firstLine="0"/>
        <w:rPr>
          <w:sz w:val="24"/>
          <w:szCs w:val="24"/>
        </w:rPr>
      </w:pPr>
    </w:p>
    <w:p w14:paraId="12C33DC8" w14:textId="77777777" w:rsidR="003406E1" w:rsidRPr="00EA61F3" w:rsidRDefault="003406E1" w:rsidP="003406E1">
      <w:pPr>
        <w:tabs>
          <w:tab w:val="left" w:pos="640"/>
        </w:tabs>
        <w:jc w:val="both"/>
      </w:pPr>
      <w:r w:rsidRPr="00EA61F3">
        <w:t xml:space="preserve">For </w:t>
      </w:r>
      <w:r w:rsidRPr="00EA61F3">
        <w:rPr>
          <w:b/>
          <w:bCs/>
        </w:rPr>
        <w:t xml:space="preserve">SRS bandwidth aggregation, </w:t>
      </w:r>
      <w:r w:rsidRPr="00EA61F3">
        <w:t xml:space="preserve">the  following additional conditions should be satisfied: </w:t>
      </w:r>
    </w:p>
    <w:p w14:paraId="3273DF42" w14:textId="77777777" w:rsidR="003406E1" w:rsidRPr="00EA61F3" w:rsidRDefault="003406E1" w:rsidP="003406E1">
      <w:pPr>
        <w:pStyle w:val="B1"/>
        <w:numPr>
          <w:ilvl w:val="0"/>
          <w:numId w:val="19"/>
        </w:numPr>
        <w:spacing w:after="0"/>
        <w:rPr>
          <w:bCs/>
          <w:iCs/>
          <w:sz w:val="24"/>
          <w:szCs w:val="24"/>
        </w:rPr>
      </w:pPr>
      <w:r w:rsidRPr="00EA61F3">
        <w:rPr>
          <w:bCs/>
          <w:iCs/>
          <w:sz w:val="24"/>
          <w:szCs w:val="24"/>
        </w:rPr>
        <w:lastRenderedPageBreak/>
        <w:t>SRS with RE-offset configuration which maintains contiguous SRS pattern across aggregated bandwidths even in the presence of guard tones</w:t>
      </w:r>
    </w:p>
    <w:p w14:paraId="333ADDB1" w14:textId="79F53227" w:rsidR="006501C7" w:rsidRPr="00EA61F3" w:rsidRDefault="006501C7" w:rsidP="00D24715">
      <w:pPr>
        <w:pStyle w:val="B1"/>
        <w:numPr>
          <w:ilvl w:val="0"/>
          <w:numId w:val="19"/>
        </w:numPr>
        <w:spacing w:after="0"/>
        <w:rPr>
          <w:sz w:val="24"/>
          <w:szCs w:val="24"/>
          <w:lang w:val="en-US"/>
        </w:rPr>
      </w:pPr>
      <w:r w:rsidRPr="00EA61F3">
        <w:rPr>
          <w:sz w:val="24"/>
          <w:szCs w:val="24"/>
          <w:lang w:val="en-US"/>
        </w:rPr>
        <w:t xml:space="preserve">The condition that the </w:t>
      </w:r>
      <w:proofErr w:type="spellStart"/>
      <w:r w:rsidRPr="00EA61F3">
        <w:rPr>
          <w:sz w:val="24"/>
          <w:szCs w:val="24"/>
          <w:lang w:val="en-US"/>
        </w:rPr>
        <w:t>gNB</w:t>
      </w:r>
      <w:proofErr w:type="spellEnd"/>
      <w:r w:rsidRPr="00EA61F3">
        <w:rPr>
          <w:sz w:val="24"/>
          <w:szCs w:val="24"/>
          <w:lang w:val="en-US"/>
        </w:rPr>
        <w:t xml:space="preserve"> Tx TEG and UE Rx TEG should be the same is not needed. There may need to be some discussion on the maximum </w:t>
      </w:r>
      <w:r w:rsidRPr="00EA61F3">
        <w:rPr>
          <w:bCs/>
          <w:sz w:val="24"/>
          <w:szCs w:val="24"/>
        </w:rPr>
        <w:t xml:space="preserve">TX timing error margin </w:t>
      </w:r>
      <w:r w:rsidRPr="00EA61F3">
        <w:rPr>
          <w:sz w:val="24"/>
          <w:szCs w:val="24"/>
          <w:lang w:val="en-US"/>
        </w:rPr>
        <w:t xml:space="preserve">(possibly in RAN4). In RAN1, we can signal the TEG ID for each of the aggregated PFLs or assign a single TEG ID for the aggregated </w:t>
      </w:r>
      <w:r w:rsidR="00AA54BA" w:rsidRPr="00EA61F3">
        <w:rPr>
          <w:sz w:val="24"/>
          <w:szCs w:val="24"/>
          <w:lang w:val="en-US"/>
        </w:rPr>
        <w:t>SRSs</w:t>
      </w:r>
      <w:r w:rsidRPr="00EA61F3">
        <w:rPr>
          <w:sz w:val="24"/>
          <w:szCs w:val="24"/>
          <w:lang w:val="en-US"/>
        </w:rPr>
        <w:t xml:space="preserve">. </w:t>
      </w:r>
    </w:p>
    <w:p w14:paraId="5F5D05F7" w14:textId="77777777" w:rsidR="003406E1" w:rsidRPr="00EA61F3" w:rsidRDefault="003406E1" w:rsidP="003406E1">
      <w:pPr>
        <w:tabs>
          <w:tab w:val="left" w:pos="640"/>
        </w:tabs>
        <w:jc w:val="both"/>
      </w:pPr>
    </w:p>
    <w:p w14:paraId="1D4DA693" w14:textId="02667866" w:rsidR="003406E1" w:rsidRPr="00EA61F3" w:rsidRDefault="003406E1" w:rsidP="003406E1">
      <w:pPr>
        <w:tabs>
          <w:tab w:val="left" w:pos="640"/>
        </w:tabs>
        <w:jc w:val="both"/>
        <w:rPr>
          <w:b/>
          <w:bCs/>
          <w:i/>
          <w:iCs/>
        </w:rPr>
      </w:pPr>
      <w:r w:rsidRPr="00EA61F3">
        <w:rPr>
          <w:b/>
          <w:bCs/>
          <w:i/>
          <w:iCs/>
        </w:rPr>
        <w:t xml:space="preserve">Proposal </w:t>
      </w:r>
      <w:r w:rsidR="004C0F48" w:rsidRPr="00EA61F3">
        <w:rPr>
          <w:b/>
          <w:bCs/>
          <w:i/>
          <w:iCs/>
        </w:rPr>
        <w:t>2</w:t>
      </w:r>
      <w:r w:rsidRPr="00EA61F3">
        <w:rPr>
          <w:b/>
          <w:bCs/>
          <w:i/>
          <w:iCs/>
        </w:rPr>
        <w:t xml:space="preserve">: For SRS bandwidth aggregation, the  following additional conditions should be satisfied: </w:t>
      </w:r>
    </w:p>
    <w:p w14:paraId="4FD8FB4B" w14:textId="77777777" w:rsidR="003406E1" w:rsidRPr="00EA61F3" w:rsidRDefault="003406E1" w:rsidP="003406E1">
      <w:pPr>
        <w:pStyle w:val="B1"/>
        <w:numPr>
          <w:ilvl w:val="0"/>
          <w:numId w:val="19"/>
        </w:numPr>
        <w:spacing w:after="0"/>
        <w:rPr>
          <w:b/>
          <w:bCs/>
          <w:i/>
          <w:iCs/>
          <w:sz w:val="24"/>
          <w:szCs w:val="24"/>
        </w:rPr>
      </w:pPr>
      <w:r w:rsidRPr="00EA61F3">
        <w:rPr>
          <w:b/>
          <w:bCs/>
          <w:i/>
          <w:iCs/>
          <w:sz w:val="24"/>
          <w:szCs w:val="24"/>
        </w:rPr>
        <w:t>SRS with RE-offset configuration which maintains contiguous SRS pattern across aggregated bandwidths even in the presence of guard tones</w:t>
      </w:r>
    </w:p>
    <w:p w14:paraId="6B627FC8" w14:textId="77777777" w:rsidR="00AA54BA" w:rsidRPr="00EA61F3" w:rsidRDefault="00AA54BA" w:rsidP="00AA54BA">
      <w:pPr>
        <w:pStyle w:val="B1"/>
        <w:numPr>
          <w:ilvl w:val="0"/>
          <w:numId w:val="19"/>
        </w:numPr>
        <w:rPr>
          <w:b/>
          <w:bCs/>
          <w:i/>
          <w:iCs/>
          <w:sz w:val="24"/>
          <w:szCs w:val="24"/>
          <w:lang w:val="en-US"/>
        </w:rPr>
      </w:pPr>
      <w:r w:rsidRPr="00EA61F3">
        <w:rPr>
          <w:b/>
          <w:bCs/>
          <w:i/>
          <w:iCs/>
          <w:sz w:val="24"/>
          <w:szCs w:val="24"/>
          <w:lang w:val="en-US"/>
        </w:rPr>
        <w:t xml:space="preserve">In RAN1, we can signal the TEG ID for each of the aggregated PFLs or assign a single TEG ID for the aggregated SRSs. </w:t>
      </w:r>
    </w:p>
    <w:p w14:paraId="0139CBA1" w14:textId="77777777" w:rsidR="009E0421" w:rsidRDefault="009E0421" w:rsidP="009E0421">
      <w:pPr>
        <w:rPr>
          <w:b/>
          <w:bCs/>
          <w:i/>
          <w:iCs/>
          <w:sz w:val="22"/>
          <w:szCs w:val="22"/>
        </w:rPr>
      </w:pPr>
    </w:p>
    <w:p w14:paraId="5C89989A" w14:textId="54A41395" w:rsidR="005530CC" w:rsidRPr="00694737" w:rsidRDefault="00FE0720" w:rsidP="005530CC">
      <w:pPr>
        <w:pStyle w:val="Heading2"/>
        <w:jc w:val="both"/>
        <w:rPr>
          <w:lang w:val="en-GB"/>
        </w:rPr>
      </w:pPr>
      <w:r w:rsidRPr="00694737">
        <w:rPr>
          <w:lang w:val="en-GB"/>
        </w:rPr>
        <w:t xml:space="preserve"> </w:t>
      </w:r>
      <w:r w:rsidR="005530CC" w:rsidRPr="00694737">
        <w:rPr>
          <w:lang w:val="en-GB"/>
        </w:rPr>
        <w:t xml:space="preserve">SRS Aggregation: Power control </w:t>
      </w:r>
    </w:p>
    <w:p w14:paraId="74214394" w14:textId="3EF9F3C8" w:rsidR="00567241" w:rsidRPr="00EA61F3" w:rsidRDefault="00567241" w:rsidP="00FE0720">
      <w:r w:rsidRPr="00EA61F3">
        <w:t xml:space="preserve">For </w:t>
      </w:r>
      <w:proofErr w:type="spellStart"/>
      <w:r w:rsidRPr="00EA61F3">
        <w:t>SRSp</w:t>
      </w:r>
      <w:proofErr w:type="spellEnd"/>
      <w:r w:rsidR="005530CC" w:rsidRPr="00EA61F3">
        <w:t xml:space="preserve"> transmission power for an </w:t>
      </w:r>
      <w:proofErr w:type="spellStart"/>
      <w:r w:rsidR="005530CC" w:rsidRPr="00EA61F3">
        <w:t>SRS</w:t>
      </w:r>
      <w:r w:rsidRPr="00EA61F3">
        <w:t>p</w:t>
      </w:r>
      <w:proofErr w:type="spellEnd"/>
      <w:r w:rsidR="005530CC" w:rsidRPr="00EA61F3">
        <w:t xml:space="preserve"> configured by SRS-PosResource-r16, only open loop power control (OLPC) is used. </w:t>
      </w:r>
    </w:p>
    <w:p w14:paraId="6A0D8B96" w14:textId="77777777" w:rsidR="00CC379A" w:rsidRPr="00EA61F3" w:rsidRDefault="00CC379A" w:rsidP="00D452F3">
      <w:pPr>
        <w:jc w:val="both"/>
      </w:pPr>
    </w:p>
    <w:p w14:paraId="759FE993" w14:textId="02E67EF0" w:rsidR="00CC379A" w:rsidRPr="00EA61F3" w:rsidRDefault="00CC379A" w:rsidP="00D452F3">
      <w:pPr>
        <w:jc w:val="both"/>
      </w:pPr>
      <w:r w:rsidRPr="00EA61F3">
        <w:t>In RAN1 #112-bis-e, the following agreement was made</w:t>
      </w:r>
      <w:r w:rsidR="00FE0720" w:rsidRPr="00EA61F3">
        <w:t xml:space="preserve"> </w:t>
      </w:r>
      <w:r w:rsidR="00FE0720" w:rsidRPr="00EA61F3">
        <w:fldChar w:fldCharType="begin"/>
      </w:r>
      <w:r w:rsidR="00FE0720" w:rsidRPr="00EA61F3">
        <w:instrText xml:space="preserve"> REF _Ref134794901 \r \h  \* MERGEFORMAT </w:instrText>
      </w:r>
      <w:r w:rsidR="00FE0720" w:rsidRPr="00EA61F3">
        <w:fldChar w:fldCharType="separate"/>
      </w:r>
      <w:r w:rsidR="00F432F0" w:rsidRPr="00EA61F3">
        <w:t>[1]</w:t>
      </w:r>
      <w:r w:rsidR="00FE0720" w:rsidRPr="00EA61F3">
        <w:fldChar w:fldCharType="end"/>
      </w:r>
      <w:r w:rsidRPr="00EA61F3">
        <w:t>:</w:t>
      </w:r>
    </w:p>
    <w:tbl>
      <w:tblPr>
        <w:tblStyle w:val="TableGrid"/>
        <w:tblW w:w="0" w:type="auto"/>
        <w:tblLook w:val="04A0" w:firstRow="1" w:lastRow="0" w:firstColumn="1" w:lastColumn="0" w:noHBand="0" w:noVBand="1"/>
      </w:tblPr>
      <w:tblGrid>
        <w:gridCol w:w="9350"/>
      </w:tblGrid>
      <w:tr w:rsidR="00CC379A" w:rsidRPr="00EA61F3" w14:paraId="0CA7EB00" w14:textId="77777777" w:rsidTr="00CC379A">
        <w:tc>
          <w:tcPr>
            <w:tcW w:w="9350" w:type="dxa"/>
          </w:tcPr>
          <w:p w14:paraId="7CAABF9B" w14:textId="77777777" w:rsidR="00CC379A" w:rsidRPr="00EA61F3" w:rsidRDefault="00CC379A" w:rsidP="00CC379A">
            <w:pPr>
              <w:snapToGrid w:val="0"/>
              <w:rPr>
                <w:b/>
                <w:bCs/>
              </w:rPr>
            </w:pPr>
            <w:r w:rsidRPr="00EA61F3">
              <w:rPr>
                <w:b/>
                <w:bCs/>
                <w:highlight w:val="green"/>
              </w:rPr>
              <w:t>Agreement</w:t>
            </w:r>
          </w:p>
          <w:p w14:paraId="3D859904" w14:textId="77777777" w:rsidR="00CC379A" w:rsidRPr="00EA61F3" w:rsidRDefault="00CC379A" w:rsidP="00CC379A">
            <w:pPr>
              <w:snapToGrid w:val="0"/>
              <w:spacing w:before="120" w:after="120"/>
              <w:jc w:val="both"/>
              <w:rPr>
                <w:lang w:eastAsia="en-US"/>
              </w:rPr>
            </w:pPr>
            <w:r w:rsidRPr="00EA61F3">
              <w:rPr>
                <w:iCs/>
              </w:rPr>
              <w:t xml:space="preserve">Support the same power prioritization between the aggregated carriers in the case when </w:t>
            </w:r>
            <w:r w:rsidRPr="00EA61F3">
              <w:t xml:space="preserve">total UE transmit power in a transmission occasion I exceeds </w:t>
            </w:r>
            <w:r w:rsidRPr="00EA61F3">
              <w:fldChar w:fldCharType="begin"/>
            </w:r>
            <w:r w:rsidRPr="00EA61F3">
              <w:instrText xml:space="preserve"> QUOTE </w:instrText>
            </w:r>
            <w:r w:rsidR="00FF70F5" w:rsidRPr="00FF70F5">
              <w:rPr>
                <w:strike/>
                <w:noProof/>
                <w:position w:val="-5"/>
              </w:rPr>
              <w:pict w14:anchorId="7F080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5pt;height:12.55pt;mso-width-percent:0;mso-height-percent:0;mso-width-percent:0;mso-height-percent:0" equationxml="&lt;">
                  <v:imagedata r:id="rId8" o:title="" chromakey="white"/>
                </v:shape>
              </w:pict>
            </w:r>
            <w:r w:rsidRPr="00EA61F3">
              <w:instrText xml:space="preserve"> </w:instrText>
            </w:r>
            <w:r w:rsidRPr="00EA61F3">
              <w:fldChar w:fldCharType="separate"/>
            </w:r>
            <w:r w:rsidR="00FF70F5" w:rsidRPr="00FF70F5">
              <w:rPr>
                <w:strike/>
                <w:noProof/>
                <w:position w:val="-5"/>
              </w:rPr>
              <w:pict w14:anchorId="0D64678F">
                <v:shape id="_x0000_i1025" type="#_x0000_t75" alt="" style="width:36.85pt;height:12.55pt;mso-width-percent:0;mso-height-percent:0;mso-width-percent:0;mso-height-percent:0" equationxml="&lt;">
                  <v:imagedata r:id="rId8" o:title="" chromakey="white"/>
                </v:shape>
              </w:pict>
            </w:r>
            <w:r w:rsidRPr="00EA61F3">
              <w:fldChar w:fldCharType="end"/>
            </w:r>
            <w:r w:rsidRPr="00EA61F3">
              <w:t xml:space="preserve"> </w:t>
            </w:r>
          </w:p>
          <w:p w14:paraId="494C0419" w14:textId="77777777" w:rsidR="00CC379A" w:rsidRPr="00EA61F3" w:rsidRDefault="00CC379A" w:rsidP="00CC379A">
            <w:pPr>
              <w:pStyle w:val="ListParagraph"/>
              <w:numPr>
                <w:ilvl w:val="0"/>
                <w:numId w:val="25"/>
              </w:numPr>
              <w:snapToGrid w:val="0"/>
              <w:spacing w:before="120" w:after="120"/>
              <w:ind w:leftChars="0"/>
              <w:contextualSpacing/>
              <w:jc w:val="both"/>
              <w:textAlignment w:val="baseline"/>
              <w:rPr>
                <w:iCs/>
                <w:sz w:val="24"/>
              </w:rPr>
            </w:pPr>
            <w:r w:rsidRPr="00EA61F3">
              <w:rPr>
                <w:iCs/>
                <w:sz w:val="24"/>
              </w:rPr>
              <w:t xml:space="preserve">The UE allocates power to the multiple SRS resources in the transmission occasion </w:t>
            </w:r>
            <w:r w:rsidRPr="00EA61F3">
              <w:rPr>
                <w:iCs/>
                <w:sz w:val="24"/>
                <w:lang w:eastAsia="zh-CN"/>
              </w:rPr>
              <w:t>i</w:t>
            </w:r>
            <w:r w:rsidRPr="00EA61F3">
              <w:rPr>
                <w:iCs/>
                <w:sz w:val="24"/>
              </w:rPr>
              <w:t xml:space="preserve"> of the aggregated carriers such that the UE’s transmit power in each transmitted resource element is equal.</w:t>
            </w:r>
          </w:p>
          <w:p w14:paraId="2D4175F4" w14:textId="77777777" w:rsidR="00CC379A" w:rsidRPr="00EA61F3" w:rsidRDefault="00CC379A" w:rsidP="00D452F3">
            <w:pPr>
              <w:pStyle w:val="ListParagraph"/>
              <w:numPr>
                <w:ilvl w:val="0"/>
                <w:numId w:val="25"/>
              </w:numPr>
              <w:snapToGrid w:val="0"/>
              <w:spacing w:before="120" w:after="120"/>
              <w:ind w:leftChars="0"/>
              <w:contextualSpacing/>
              <w:jc w:val="both"/>
              <w:textAlignment w:val="baseline"/>
              <w:rPr>
                <w:iCs/>
                <w:sz w:val="24"/>
                <w:highlight w:val="yellow"/>
              </w:rPr>
            </w:pPr>
            <w:r w:rsidRPr="00EA61F3">
              <w:rPr>
                <w:iCs/>
                <w:sz w:val="24"/>
                <w:highlight w:val="yellow"/>
              </w:rPr>
              <w:t>FFS further details, e.g. power scaling between aggregated carriers</w:t>
            </w:r>
          </w:p>
          <w:p w14:paraId="0E21D9A8" w14:textId="77777777" w:rsidR="0046541D" w:rsidRPr="00EA61F3" w:rsidRDefault="0046541D" w:rsidP="0046541D">
            <w:pPr>
              <w:snapToGrid w:val="0"/>
              <w:spacing w:before="120" w:after="120"/>
              <w:contextualSpacing/>
              <w:jc w:val="both"/>
              <w:textAlignment w:val="baseline"/>
              <w:rPr>
                <w:iCs/>
              </w:rPr>
            </w:pPr>
          </w:p>
          <w:p w14:paraId="43497202" w14:textId="77777777" w:rsidR="0046541D" w:rsidRPr="00EA61F3" w:rsidRDefault="0046541D" w:rsidP="0046541D">
            <w:pPr>
              <w:rPr>
                <w:b/>
                <w:bCs/>
                <w:lang w:eastAsia="x-none"/>
              </w:rPr>
            </w:pPr>
            <w:r w:rsidRPr="00EA61F3">
              <w:rPr>
                <w:b/>
                <w:bCs/>
                <w:highlight w:val="green"/>
                <w:lang w:eastAsia="x-none"/>
              </w:rPr>
              <w:t>Agreement</w:t>
            </w:r>
          </w:p>
          <w:p w14:paraId="5E08A4D2" w14:textId="711353ED" w:rsidR="0046541D" w:rsidRPr="00EA61F3" w:rsidRDefault="0046541D" w:rsidP="00FE0720">
            <w:pPr>
              <w:rPr>
                <w:iCs/>
              </w:rPr>
            </w:pPr>
            <w:r w:rsidRPr="00EA61F3">
              <w:t>At least from UE capability perspective</w:t>
            </w:r>
            <w:r w:rsidRPr="00EA61F3">
              <w:rPr>
                <w:lang w:eastAsia="x-none"/>
              </w:rPr>
              <w:t>, the UE support of positioning SRS bandwidth aggregation in RRC_CONNECTED state is decoupled from the UE support of communication CA.</w:t>
            </w:r>
          </w:p>
        </w:tc>
      </w:tr>
    </w:tbl>
    <w:p w14:paraId="7B01A8DD" w14:textId="77777777" w:rsidR="0046541D" w:rsidRPr="00EA61F3" w:rsidRDefault="0046541D" w:rsidP="00D452F3">
      <w:pPr>
        <w:jc w:val="both"/>
      </w:pPr>
    </w:p>
    <w:p w14:paraId="79B4AF0D" w14:textId="0C656812" w:rsidR="0046541D" w:rsidRPr="00EA61F3" w:rsidRDefault="000208B8" w:rsidP="000208B8">
      <w:pPr>
        <w:snapToGrid w:val="0"/>
        <w:spacing w:before="120" w:after="120"/>
        <w:contextualSpacing/>
        <w:jc w:val="both"/>
        <w:textAlignment w:val="baseline"/>
      </w:pPr>
      <w:r w:rsidRPr="00EA61F3">
        <w:t>The FFS “</w:t>
      </w:r>
      <w:r w:rsidRPr="00EA61F3">
        <w:rPr>
          <w:iCs/>
          <w:highlight w:val="yellow"/>
        </w:rPr>
        <w:t>FFS further details, e.g. power scaling between aggregated carriers</w:t>
      </w:r>
      <w:r w:rsidRPr="00EA61F3">
        <w:t>” needs to be closed.</w:t>
      </w:r>
      <w:r w:rsidR="00C40EDB" w:rsidRPr="00EA61F3">
        <w:t xml:space="preserve"> To enable estimation of the power across multiple aggregated carriers</w:t>
      </w:r>
      <w:r w:rsidR="00FE0720" w:rsidRPr="00EA61F3">
        <w:t xml:space="preserve">, the following procedure may be followed: </w:t>
      </w:r>
    </w:p>
    <w:p w14:paraId="2DF27985" w14:textId="615589D4" w:rsidR="00C40EDB" w:rsidRPr="00EA61F3" w:rsidRDefault="00D24715" w:rsidP="00C40EDB">
      <w:pPr>
        <w:pStyle w:val="ListParagraph"/>
        <w:numPr>
          <w:ilvl w:val="0"/>
          <w:numId w:val="26"/>
        </w:numPr>
        <w:ind w:leftChars="0"/>
        <w:jc w:val="both"/>
        <w:rPr>
          <w:sz w:val="24"/>
        </w:rPr>
      </w:pPr>
      <w:r w:rsidRPr="00EA61F3">
        <w:rPr>
          <w:sz w:val="24"/>
        </w:rPr>
        <w:t>Select</w:t>
      </w:r>
      <w:r w:rsidR="00C40EDB" w:rsidRPr="00EA61F3">
        <w:rPr>
          <w:sz w:val="24"/>
        </w:rPr>
        <w:t xml:space="preserve"> the reference C</w:t>
      </w:r>
      <w:r w:rsidRPr="00EA61F3">
        <w:rPr>
          <w:sz w:val="24"/>
        </w:rPr>
        <w:t>C</w:t>
      </w:r>
      <w:r w:rsidR="00C40EDB" w:rsidRPr="00EA61F3">
        <w:rPr>
          <w:sz w:val="24"/>
        </w:rPr>
        <w:t>. This can be based on the exiting CA prioritization rules</w:t>
      </w:r>
    </w:p>
    <w:p w14:paraId="6B07AFCB" w14:textId="7848A519" w:rsidR="00C40EDB" w:rsidRPr="00EA61F3" w:rsidRDefault="00C40EDB" w:rsidP="00C40EDB">
      <w:pPr>
        <w:pStyle w:val="ListParagraph"/>
        <w:numPr>
          <w:ilvl w:val="0"/>
          <w:numId w:val="26"/>
        </w:numPr>
        <w:ind w:leftChars="0"/>
        <w:jc w:val="both"/>
        <w:rPr>
          <w:sz w:val="24"/>
        </w:rPr>
      </w:pPr>
      <w:r w:rsidRPr="00EA61F3">
        <w:rPr>
          <w:sz w:val="24"/>
        </w:rPr>
        <w:t xml:space="preserve">Estimate the </w:t>
      </w:r>
      <w:r w:rsidR="007D2001" w:rsidRPr="00EA61F3">
        <w:rPr>
          <w:sz w:val="24"/>
        </w:rPr>
        <w:t>EPRE for the SRS in the reference CC</w:t>
      </w:r>
    </w:p>
    <w:p w14:paraId="1656E0D4" w14:textId="53AB0DB9" w:rsidR="007D2001" w:rsidRPr="00EA61F3" w:rsidRDefault="007D2001" w:rsidP="00C40EDB">
      <w:pPr>
        <w:pStyle w:val="ListParagraph"/>
        <w:numPr>
          <w:ilvl w:val="0"/>
          <w:numId w:val="26"/>
        </w:numPr>
        <w:ind w:leftChars="0"/>
        <w:jc w:val="both"/>
        <w:rPr>
          <w:sz w:val="24"/>
        </w:rPr>
      </w:pPr>
      <w:r w:rsidRPr="00EA61F3">
        <w:rPr>
          <w:color w:val="000000" w:themeColor="text1"/>
          <w:sz w:val="24"/>
        </w:rPr>
        <w:t xml:space="preserve">Set </w:t>
      </w:r>
      <w:r w:rsidRPr="00EA61F3">
        <w:rPr>
          <w:sz w:val="24"/>
        </w:rPr>
        <w:t>the EPRE for the SRSs in the additional CC(s)</w:t>
      </w:r>
    </w:p>
    <w:p w14:paraId="2A64C6F7" w14:textId="1C3DE5D6" w:rsidR="007D2001" w:rsidRPr="00EA61F3" w:rsidRDefault="007D2001" w:rsidP="00C40EDB">
      <w:pPr>
        <w:pStyle w:val="ListParagraph"/>
        <w:numPr>
          <w:ilvl w:val="0"/>
          <w:numId w:val="26"/>
        </w:numPr>
        <w:ind w:leftChars="0"/>
        <w:jc w:val="both"/>
        <w:rPr>
          <w:sz w:val="24"/>
        </w:rPr>
      </w:pPr>
      <w:r w:rsidRPr="00EA61F3">
        <w:rPr>
          <w:sz w:val="24"/>
        </w:rPr>
        <w:t xml:space="preserve">Scale total power to ensure </w:t>
      </w:r>
      <w:proofErr w:type="spellStart"/>
      <w:r w:rsidRPr="00EA61F3">
        <w:rPr>
          <w:sz w:val="24"/>
        </w:rPr>
        <w:t>Pc_max</w:t>
      </w:r>
      <w:proofErr w:type="spellEnd"/>
      <w:r w:rsidRPr="00EA61F3">
        <w:rPr>
          <w:sz w:val="24"/>
        </w:rPr>
        <w:t xml:space="preserve"> is not exceeded</w:t>
      </w:r>
    </w:p>
    <w:p w14:paraId="59BF0E53" w14:textId="77777777" w:rsidR="007D2001" w:rsidRPr="00EA61F3" w:rsidRDefault="007D2001" w:rsidP="007D2001">
      <w:pPr>
        <w:jc w:val="both"/>
      </w:pPr>
    </w:p>
    <w:p w14:paraId="1F93173C" w14:textId="7E5C46C2" w:rsidR="00C23A4B" w:rsidRPr="00EA61F3" w:rsidRDefault="007D2001" w:rsidP="00C23A4B">
      <w:pPr>
        <w:jc w:val="both"/>
        <w:rPr>
          <w:bCs/>
        </w:rPr>
      </w:pPr>
      <w:r w:rsidRPr="00EA61F3">
        <w:lastRenderedPageBreak/>
        <w:t xml:space="preserve">Note if the EPRE after scaling is insufficient for good performance, CCs may be dropped e.g. based on adjacency rules. </w:t>
      </w:r>
      <w:r w:rsidR="00C23A4B" w:rsidRPr="00EA61F3">
        <w:t xml:space="preserve">In effect </w:t>
      </w:r>
      <w:r w:rsidR="00C23A4B" w:rsidRPr="00EA61F3">
        <w:rPr>
          <w:bCs/>
        </w:rPr>
        <w:t xml:space="preserve">the transmit power is allocated proportionally to each aggregated carrier under the constraint of </w:t>
      </w:r>
      <w:proofErr w:type="spellStart"/>
      <w:r w:rsidR="00C23A4B" w:rsidRPr="00EA61F3">
        <w:rPr>
          <w:bCs/>
        </w:rPr>
        <w:t>P</w:t>
      </w:r>
      <w:r w:rsidR="00C23A4B" w:rsidRPr="00EA61F3">
        <w:rPr>
          <w:bCs/>
          <w:vertAlign w:val="subscript"/>
        </w:rPr>
        <w:t>c,max</w:t>
      </w:r>
      <w:proofErr w:type="spellEnd"/>
      <w:r w:rsidR="00C23A4B" w:rsidRPr="00EA61F3">
        <w:rPr>
          <w:bCs/>
        </w:rPr>
        <w:t>, i.e., the power is scaled based on the allocated PRBs for each aggregated carrier.</w:t>
      </w:r>
    </w:p>
    <w:p w14:paraId="0E22EC99" w14:textId="68EF0E98" w:rsidR="007D2001" w:rsidRPr="00EA61F3" w:rsidRDefault="007D2001" w:rsidP="007D2001">
      <w:pPr>
        <w:jc w:val="both"/>
      </w:pPr>
    </w:p>
    <w:p w14:paraId="2975B2B4" w14:textId="77777777" w:rsidR="00FE0720" w:rsidRPr="00EA61F3" w:rsidRDefault="00FE0720" w:rsidP="007D2001">
      <w:pPr>
        <w:jc w:val="both"/>
      </w:pPr>
    </w:p>
    <w:p w14:paraId="13EDF79D" w14:textId="2CDF95A9" w:rsidR="00FE0720" w:rsidRPr="00EA61F3" w:rsidRDefault="00D24715" w:rsidP="00FE0720">
      <w:pPr>
        <w:jc w:val="both"/>
        <w:rPr>
          <w:b/>
          <w:bCs/>
          <w:i/>
          <w:iCs/>
        </w:rPr>
      </w:pPr>
      <w:r w:rsidRPr="00EA61F3">
        <w:rPr>
          <w:b/>
          <w:bCs/>
          <w:i/>
          <w:iCs/>
        </w:rPr>
        <w:t xml:space="preserve">Proposal </w:t>
      </w:r>
      <w:r w:rsidR="004C0F48" w:rsidRPr="00EA61F3">
        <w:rPr>
          <w:b/>
          <w:bCs/>
          <w:i/>
          <w:iCs/>
        </w:rPr>
        <w:t>3</w:t>
      </w:r>
      <w:r w:rsidRPr="00EA61F3">
        <w:rPr>
          <w:b/>
          <w:bCs/>
          <w:i/>
          <w:iCs/>
        </w:rPr>
        <w:t>: To enable estimation of the power across multiple aggregated carriers</w:t>
      </w:r>
      <w:r w:rsidR="00FE0720" w:rsidRPr="00EA61F3">
        <w:rPr>
          <w:b/>
          <w:bCs/>
          <w:i/>
          <w:iCs/>
        </w:rPr>
        <w:t xml:space="preserve"> the following procedure may be followed: </w:t>
      </w:r>
    </w:p>
    <w:p w14:paraId="3DA153EB" w14:textId="4B5D97C4" w:rsidR="00FE0720" w:rsidRPr="00EA61F3" w:rsidRDefault="00D24715" w:rsidP="00FE0720">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sz w:val="24"/>
        </w:rPr>
        <w:t xml:space="preserve">select a reference CC and estimate the EPRE for the SRS in the reference CC. </w:t>
      </w:r>
    </w:p>
    <w:p w14:paraId="05DD6581" w14:textId="77777777" w:rsidR="00FE0720" w:rsidRPr="00EA61F3" w:rsidRDefault="00D24715" w:rsidP="00FE0720">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color w:val="000000" w:themeColor="text1"/>
          <w:sz w:val="24"/>
        </w:rPr>
        <w:t xml:space="preserve">Set </w:t>
      </w:r>
      <w:r w:rsidRPr="00EA61F3">
        <w:rPr>
          <w:rFonts w:ascii="Times New Roman" w:hAnsi="Times New Roman"/>
          <w:b/>
          <w:bCs/>
          <w:i/>
          <w:iCs/>
          <w:sz w:val="24"/>
        </w:rPr>
        <w:t xml:space="preserve">the EPRE for the SRSs in the additional CC(s) and scale the  total power to ensure </w:t>
      </w:r>
      <w:proofErr w:type="spellStart"/>
      <w:r w:rsidRPr="00EA61F3">
        <w:rPr>
          <w:rFonts w:ascii="Times New Roman" w:hAnsi="Times New Roman"/>
          <w:b/>
          <w:bCs/>
          <w:i/>
          <w:iCs/>
          <w:sz w:val="24"/>
        </w:rPr>
        <w:t>Pc_max</w:t>
      </w:r>
      <w:proofErr w:type="spellEnd"/>
      <w:r w:rsidRPr="00EA61F3">
        <w:rPr>
          <w:rFonts w:ascii="Times New Roman" w:hAnsi="Times New Roman"/>
          <w:b/>
          <w:bCs/>
          <w:i/>
          <w:iCs/>
          <w:sz w:val="24"/>
        </w:rPr>
        <w:t xml:space="preserve"> is not exceeded. </w:t>
      </w:r>
    </w:p>
    <w:p w14:paraId="5D4EF694" w14:textId="711D233A" w:rsidR="00D24715" w:rsidRPr="00EA61F3" w:rsidRDefault="00D24715" w:rsidP="00FE0720">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sz w:val="24"/>
        </w:rPr>
        <w:t>If the EPRE after scaling is insufficient for good performance, the rules for dropping CCs may need to be supported.</w:t>
      </w:r>
    </w:p>
    <w:p w14:paraId="536B3823" w14:textId="4183DA08" w:rsidR="00C23A4B" w:rsidRPr="00EA61F3" w:rsidRDefault="00C23A4B" w:rsidP="00C23A4B">
      <w:pPr>
        <w:jc w:val="both"/>
        <w:rPr>
          <w:b/>
          <w:bCs/>
          <w:i/>
          <w:iCs/>
        </w:rPr>
      </w:pPr>
      <w:r w:rsidRPr="00EA61F3">
        <w:rPr>
          <w:b/>
          <w:bCs/>
          <w:i/>
          <w:iCs/>
        </w:rPr>
        <w:t xml:space="preserve">In effect </w:t>
      </w:r>
      <w:r w:rsidRPr="00EA61F3">
        <w:rPr>
          <w:rFonts w:cs="Times"/>
          <w:b/>
          <w:bCs/>
          <w:i/>
          <w:iCs/>
        </w:rPr>
        <w:t xml:space="preserve">the transmit power is allocated proportionally to each aggregated carrier under the constraint of </w:t>
      </w:r>
      <w:proofErr w:type="spellStart"/>
      <w:r w:rsidRPr="00EA61F3">
        <w:rPr>
          <w:rFonts w:cs="Times"/>
          <w:b/>
          <w:bCs/>
          <w:i/>
          <w:iCs/>
        </w:rPr>
        <w:t>P</w:t>
      </w:r>
      <w:r w:rsidRPr="00EA61F3">
        <w:rPr>
          <w:rFonts w:cs="Times"/>
          <w:b/>
          <w:bCs/>
          <w:i/>
          <w:iCs/>
          <w:vertAlign w:val="subscript"/>
        </w:rPr>
        <w:t>c,max</w:t>
      </w:r>
      <w:proofErr w:type="spellEnd"/>
      <w:r w:rsidRPr="00EA61F3">
        <w:rPr>
          <w:rFonts w:cs="Times"/>
          <w:b/>
          <w:bCs/>
          <w:i/>
          <w:iCs/>
        </w:rPr>
        <w:t>, i.e., the power is scaled based on the allocated PRBs for each aggregated carrier</w:t>
      </w:r>
    </w:p>
    <w:p w14:paraId="360B1E69" w14:textId="77777777" w:rsidR="00F51387" w:rsidRDefault="00F51387" w:rsidP="00F51387">
      <w:pPr>
        <w:jc w:val="both"/>
        <w:rPr>
          <w:b/>
          <w:bCs/>
          <w:i/>
          <w:iCs/>
          <w:strike/>
          <w:sz w:val="22"/>
          <w:szCs w:val="22"/>
        </w:rPr>
      </w:pPr>
    </w:p>
    <w:p w14:paraId="7B2698BB" w14:textId="77777777" w:rsidR="00F51387" w:rsidRDefault="00F51387" w:rsidP="00F51387">
      <w:pPr>
        <w:jc w:val="both"/>
        <w:rPr>
          <w:b/>
          <w:bCs/>
          <w:i/>
          <w:iCs/>
          <w:strike/>
          <w:sz w:val="22"/>
          <w:szCs w:val="22"/>
        </w:rPr>
      </w:pPr>
    </w:p>
    <w:p w14:paraId="5AF7F5BB" w14:textId="647BB1BB" w:rsidR="00ED7653" w:rsidRDefault="008A13B7" w:rsidP="008134DE">
      <w:pPr>
        <w:pStyle w:val="Heading1"/>
      </w:pPr>
      <w:r>
        <w:t>Con</w:t>
      </w:r>
      <w:r w:rsidR="00ED7653" w:rsidRPr="008134DE">
        <w:t>clusion</w:t>
      </w:r>
    </w:p>
    <w:p w14:paraId="205AAABA" w14:textId="71C1CDCF" w:rsidR="00DA7316" w:rsidRPr="00EA61F3" w:rsidRDefault="00592E19" w:rsidP="00DA7316">
      <w:r w:rsidRPr="00EA61F3">
        <w:t>In this contribution, the following observations and proposals were made:</w:t>
      </w:r>
    </w:p>
    <w:p w14:paraId="33016DB2" w14:textId="66D22192" w:rsidR="00A658EF" w:rsidRPr="00EA61F3" w:rsidRDefault="00A658EF" w:rsidP="00DA7316"/>
    <w:p w14:paraId="7194111C" w14:textId="77777777" w:rsidR="004C0F48" w:rsidRPr="00EA61F3" w:rsidRDefault="004C0F48" w:rsidP="004C0F48">
      <w:pPr>
        <w:tabs>
          <w:tab w:val="left" w:pos="640"/>
        </w:tabs>
        <w:jc w:val="both"/>
        <w:rPr>
          <w:b/>
          <w:bCs/>
          <w:i/>
          <w:iCs/>
        </w:rPr>
      </w:pPr>
      <w:r w:rsidRPr="00EA61F3">
        <w:rPr>
          <w:b/>
          <w:bCs/>
          <w:i/>
          <w:iCs/>
        </w:rPr>
        <w:t xml:space="preserve">Proposal 1: For PRS bandwidth aggregation, the  following additional conditions should be satisfied: </w:t>
      </w:r>
    </w:p>
    <w:p w14:paraId="58615063" w14:textId="77777777" w:rsidR="004C0F48" w:rsidRPr="00EA61F3" w:rsidRDefault="004C0F48" w:rsidP="004C0F48">
      <w:pPr>
        <w:pStyle w:val="B1"/>
        <w:numPr>
          <w:ilvl w:val="0"/>
          <w:numId w:val="19"/>
        </w:numPr>
        <w:spacing w:after="0"/>
        <w:rPr>
          <w:sz w:val="24"/>
          <w:szCs w:val="24"/>
          <w:lang w:val="en-US"/>
        </w:rPr>
      </w:pPr>
      <w:r w:rsidRPr="00EA61F3">
        <w:rPr>
          <w:b/>
          <w:bCs/>
          <w:i/>
          <w:iCs/>
          <w:sz w:val="24"/>
          <w:szCs w:val="24"/>
          <w:lang w:val="en-US"/>
        </w:rPr>
        <w:t xml:space="preserve">The condition that the </w:t>
      </w:r>
      <w:proofErr w:type="spellStart"/>
      <w:r w:rsidRPr="00EA61F3">
        <w:rPr>
          <w:b/>
          <w:bCs/>
          <w:i/>
          <w:iCs/>
          <w:sz w:val="24"/>
          <w:szCs w:val="24"/>
          <w:lang w:val="en-US"/>
        </w:rPr>
        <w:t>gNB</w:t>
      </w:r>
      <w:proofErr w:type="spellEnd"/>
      <w:r w:rsidRPr="00EA61F3">
        <w:rPr>
          <w:b/>
          <w:bCs/>
          <w:i/>
          <w:iCs/>
          <w:sz w:val="24"/>
          <w:szCs w:val="24"/>
          <w:lang w:val="en-US"/>
        </w:rPr>
        <w:t xml:space="preserve"> Tx TEG and UE Rx TEG should be the same is not needed. Note that if there is no further discussion on the TEG issue, this conclusion can be assumed as default.</w:t>
      </w:r>
      <w:r w:rsidRPr="00EA61F3">
        <w:rPr>
          <w:sz w:val="24"/>
          <w:szCs w:val="24"/>
          <w:lang w:val="en-US"/>
        </w:rPr>
        <w:t xml:space="preserve"> </w:t>
      </w:r>
    </w:p>
    <w:p w14:paraId="6D848412" w14:textId="77777777" w:rsidR="00DF331F" w:rsidRPr="00EA61F3" w:rsidRDefault="00DF331F" w:rsidP="00DA7316"/>
    <w:p w14:paraId="419E1F22" w14:textId="77777777" w:rsidR="004C0F48" w:rsidRPr="00EA61F3" w:rsidRDefault="004C0F48" w:rsidP="004C0F48">
      <w:pPr>
        <w:tabs>
          <w:tab w:val="left" w:pos="640"/>
        </w:tabs>
        <w:jc w:val="both"/>
        <w:rPr>
          <w:b/>
          <w:bCs/>
          <w:i/>
          <w:iCs/>
        </w:rPr>
      </w:pPr>
      <w:r w:rsidRPr="00EA61F3">
        <w:rPr>
          <w:b/>
          <w:bCs/>
          <w:i/>
          <w:iCs/>
        </w:rPr>
        <w:t xml:space="preserve">Proposal 2: For SRS bandwidth aggregation, the  following additional conditions should be satisfied: </w:t>
      </w:r>
    </w:p>
    <w:p w14:paraId="6A1D26CD" w14:textId="77777777" w:rsidR="004C0F48" w:rsidRPr="00EA61F3" w:rsidRDefault="004C0F48" w:rsidP="004C0F48">
      <w:pPr>
        <w:pStyle w:val="B1"/>
        <w:numPr>
          <w:ilvl w:val="0"/>
          <w:numId w:val="19"/>
        </w:numPr>
        <w:spacing w:after="0"/>
        <w:rPr>
          <w:b/>
          <w:bCs/>
          <w:i/>
          <w:iCs/>
          <w:sz w:val="24"/>
          <w:szCs w:val="24"/>
        </w:rPr>
      </w:pPr>
      <w:r w:rsidRPr="00EA61F3">
        <w:rPr>
          <w:b/>
          <w:bCs/>
          <w:i/>
          <w:iCs/>
          <w:sz w:val="24"/>
          <w:szCs w:val="24"/>
        </w:rPr>
        <w:t>SRS with RE-offset configuration which maintains contiguous SRS pattern across aggregated bandwidths even in the presence of guard tones</w:t>
      </w:r>
    </w:p>
    <w:p w14:paraId="7B66834D" w14:textId="77777777" w:rsidR="004C0F48" w:rsidRPr="00EA61F3" w:rsidRDefault="004C0F48" w:rsidP="004C0F48">
      <w:pPr>
        <w:pStyle w:val="B1"/>
        <w:numPr>
          <w:ilvl w:val="0"/>
          <w:numId w:val="19"/>
        </w:numPr>
        <w:rPr>
          <w:b/>
          <w:bCs/>
          <w:i/>
          <w:iCs/>
          <w:sz w:val="24"/>
          <w:szCs w:val="24"/>
          <w:lang w:val="en-US"/>
        </w:rPr>
      </w:pPr>
      <w:r w:rsidRPr="00EA61F3">
        <w:rPr>
          <w:b/>
          <w:bCs/>
          <w:i/>
          <w:iCs/>
          <w:sz w:val="24"/>
          <w:szCs w:val="24"/>
          <w:lang w:val="en-US"/>
        </w:rPr>
        <w:t xml:space="preserve">In RAN1, we can signal the TEG ID for each of the aggregated PFLs or assign a single TEG ID for the aggregated SRSs. </w:t>
      </w:r>
    </w:p>
    <w:p w14:paraId="26D064B2" w14:textId="77777777" w:rsidR="004C0F48" w:rsidRPr="00EA61F3" w:rsidRDefault="004C0F48" w:rsidP="00DA7316"/>
    <w:p w14:paraId="647466B3" w14:textId="77777777" w:rsidR="004C0F48" w:rsidRPr="00EA61F3" w:rsidRDefault="004C0F48" w:rsidP="00DA7316"/>
    <w:p w14:paraId="2194FF52" w14:textId="77777777" w:rsidR="004C0F48" w:rsidRPr="00EA61F3" w:rsidRDefault="004C0F48" w:rsidP="004C0F48">
      <w:pPr>
        <w:jc w:val="both"/>
        <w:rPr>
          <w:b/>
          <w:bCs/>
          <w:i/>
          <w:iCs/>
        </w:rPr>
      </w:pPr>
      <w:r w:rsidRPr="00EA61F3">
        <w:rPr>
          <w:b/>
          <w:bCs/>
          <w:i/>
          <w:iCs/>
        </w:rPr>
        <w:t xml:space="preserve">Proposal 3: To enable estimation of the power across multiple aggregated carriers the following procedure may be followed: </w:t>
      </w:r>
    </w:p>
    <w:p w14:paraId="6C13A98E" w14:textId="77777777" w:rsidR="004C0F48" w:rsidRPr="00EA61F3" w:rsidRDefault="004C0F48" w:rsidP="004C0F48">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sz w:val="24"/>
        </w:rPr>
        <w:t xml:space="preserve">select a reference CC and estimate the EPRE for the SRS in the reference CC. </w:t>
      </w:r>
    </w:p>
    <w:p w14:paraId="495C9257" w14:textId="77777777" w:rsidR="004C0F48" w:rsidRPr="00EA61F3" w:rsidRDefault="004C0F48" w:rsidP="004C0F48">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color w:val="000000" w:themeColor="text1"/>
          <w:sz w:val="24"/>
        </w:rPr>
        <w:t xml:space="preserve">Set </w:t>
      </w:r>
      <w:r w:rsidRPr="00EA61F3">
        <w:rPr>
          <w:rFonts w:ascii="Times New Roman" w:hAnsi="Times New Roman"/>
          <w:b/>
          <w:bCs/>
          <w:i/>
          <w:iCs/>
          <w:sz w:val="24"/>
        </w:rPr>
        <w:t xml:space="preserve">the EPRE for the SRSs in the additional CC(s) and scale the  total power to ensure </w:t>
      </w:r>
      <w:proofErr w:type="spellStart"/>
      <w:r w:rsidRPr="00EA61F3">
        <w:rPr>
          <w:rFonts w:ascii="Times New Roman" w:hAnsi="Times New Roman"/>
          <w:b/>
          <w:bCs/>
          <w:i/>
          <w:iCs/>
          <w:sz w:val="24"/>
        </w:rPr>
        <w:t>Pc_max</w:t>
      </w:r>
      <w:proofErr w:type="spellEnd"/>
      <w:r w:rsidRPr="00EA61F3">
        <w:rPr>
          <w:rFonts w:ascii="Times New Roman" w:hAnsi="Times New Roman"/>
          <w:b/>
          <w:bCs/>
          <w:i/>
          <w:iCs/>
          <w:sz w:val="24"/>
        </w:rPr>
        <w:t xml:space="preserve"> is not exceeded. </w:t>
      </w:r>
    </w:p>
    <w:p w14:paraId="7F66E0DA" w14:textId="77777777" w:rsidR="004C0F48" w:rsidRPr="00EA61F3" w:rsidRDefault="004C0F48" w:rsidP="004C0F48">
      <w:pPr>
        <w:pStyle w:val="ListParagraph"/>
        <w:numPr>
          <w:ilvl w:val="0"/>
          <w:numId w:val="28"/>
        </w:numPr>
        <w:ind w:leftChars="0"/>
        <w:jc w:val="both"/>
        <w:rPr>
          <w:rFonts w:ascii="Times New Roman" w:hAnsi="Times New Roman"/>
          <w:b/>
          <w:bCs/>
          <w:i/>
          <w:iCs/>
          <w:sz w:val="24"/>
        </w:rPr>
      </w:pPr>
      <w:r w:rsidRPr="00EA61F3">
        <w:rPr>
          <w:rFonts w:ascii="Times New Roman" w:hAnsi="Times New Roman"/>
          <w:b/>
          <w:bCs/>
          <w:i/>
          <w:iCs/>
          <w:sz w:val="24"/>
        </w:rPr>
        <w:t>If the EPRE after scaling is insufficient for good performance, the rules for dropping CCs may need to be supported.</w:t>
      </w:r>
    </w:p>
    <w:p w14:paraId="28CD15D0" w14:textId="77777777" w:rsidR="004C0F48" w:rsidRPr="00EA61F3" w:rsidRDefault="004C0F48" w:rsidP="004C0F48">
      <w:pPr>
        <w:jc w:val="both"/>
        <w:rPr>
          <w:b/>
          <w:bCs/>
          <w:i/>
          <w:iCs/>
        </w:rPr>
      </w:pPr>
      <w:r w:rsidRPr="00EA61F3">
        <w:rPr>
          <w:b/>
          <w:bCs/>
          <w:i/>
          <w:iCs/>
        </w:rPr>
        <w:lastRenderedPageBreak/>
        <w:t xml:space="preserve">In effect </w:t>
      </w:r>
      <w:r w:rsidRPr="00EA61F3">
        <w:rPr>
          <w:rFonts w:cs="Times"/>
          <w:b/>
          <w:bCs/>
          <w:i/>
          <w:iCs/>
        </w:rPr>
        <w:t xml:space="preserve">the transmit power is allocated proportionally to each aggregated carrier under the constraint of </w:t>
      </w:r>
      <w:proofErr w:type="spellStart"/>
      <w:r w:rsidRPr="00EA61F3">
        <w:rPr>
          <w:rFonts w:cs="Times"/>
          <w:b/>
          <w:bCs/>
          <w:i/>
          <w:iCs/>
        </w:rPr>
        <w:t>P</w:t>
      </w:r>
      <w:r w:rsidRPr="00EA61F3">
        <w:rPr>
          <w:rFonts w:cs="Times"/>
          <w:b/>
          <w:bCs/>
          <w:i/>
          <w:iCs/>
          <w:vertAlign w:val="subscript"/>
        </w:rPr>
        <w:t>c,max</w:t>
      </w:r>
      <w:proofErr w:type="spellEnd"/>
      <w:r w:rsidRPr="00EA61F3">
        <w:rPr>
          <w:rFonts w:cs="Times"/>
          <w:b/>
          <w:bCs/>
          <w:i/>
          <w:iCs/>
        </w:rPr>
        <w:t>, i.e., the power is scaled based on the allocated PRBs for each aggregated carrier</w:t>
      </w:r>
    </w:p>
    <w:p w14:paraId="416B8B3B" w14:textId="77777777" w:rsidR="004C0F48" w:rsidRPr="00EA61F3" w:rsidRDefault="004C0F48" w:rsidP="00DA7316"/>
    <w:p w14:paraId="3583E65D" w14:textId="0DF27C9A" w:rsidR="00A658EF" w:rsidRDefault="00A658EF" w:rsidP="00A658EF">
      <w:pPr>
        <w:pStyle w:val="Heading1"/>
      </w:pPr>
      <w:r>
        <w:t>References</w:t>
      </w:r>
    </w:p>
    <w:p w14:paraId="60D51D85" w14:textId="6A4DF48A" w:rsidR="00694737" w:rsidRPr="00EA61F3" w:rsidRDefault="004C0F48" w:rsidP="00694737">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EA61F3">
        <w:rPr>
          <w:bCs/>
          <w:lang w:val="en-GB"/>
        </w:rPr>
        <w:t xml:space="preserve">R1-2309229 </w:t>
      </w:r>
      <w:r w:rsidRPr="00EA61F3">
        <w:rPr>
          <w:rFonts w:eastAsia="SimSun"/>
          <w:b/>
        </w:rPr>
        <w:t>Summary #</w:t>
      </w:r>
      <w:r w:rsidRPr="00EA61F3">
        <w:rPr>
          <w:rFonts w:eastAsia="SimSun" w:hint="eastAsia"/>
          <w:b/>
        </w:rPr>
        <w:t>3</w:t>
      </w:r>
      <w:r w:rsidRPr="00EA61F3">
        <w:rPr>
          <w:rFonts w:eastAsia="SimSun"/>
          <w:b/>
        </w:rPr>
        <w:t xml:space="preserve"> for BW aggregation positioning, October 2023</w:t>
      </w:r>
    </w:p>
    <w:p w14:paraId="5FB22BB3" w14:textId="77777777" w:rsidR="00D558C9" w:rsidRPr="001C4DB4" w:rsidRDefault="00D558C9" w:rsidP="00D558C9">
      <w:pPr>
        <w:overflowPunct w:val="0"/>
        <w:autoSpaceDE w:val="0"/>
        <w:autoSpaceDN w:val="0"/>
        <w:adjustRightInd w:val="0"/>
        <w:spacing w:before="100" w:beforeAutospacing="1" w:after="120"/>
        <w:ind w:left="562"/>
        <w:jc w:val="both"/>
        <w:textAlignment w:val="baseline"/>
        <w:rPr>
          <w:bCs/>
          <w:sz w:val="22"/>
          <w:szCs w:val="22"/>
          <w:lang w:val="en-GB"/>
        </w:rPr>
      </w:pPr>
    </w:p>
    <w:sectPr w:rsidR="00D558C9" w:rsidRPr="001C4DB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ED6E" w14:textId="77777777" w:rsidR="00FF70F5" w:rsidRDefault="00FF70F5" w:rsidP="00161DF4">
      <w:r>
        <w:separator/>
      </w:r>
    </w:p>
  </w:endnote>
  <w:endnote w:type="continuationSeparator" w:id="0">
    <w:p w14:paraId="7639C04A" w14:textId="77777777" w:rsidR="00FF70F5" w:rsidRDefault="00FF70F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Yu Gothic"/>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08FA" w14:textId="77777777" w:rsidR="00FF70F5" w:rsidRDefault="00FF70F5" w:rsidP="00161DF4">
      <w:r>
        <w:separator/>
      </w:r>
    </w:p>
  </w:footnote>
  <w:footnote w:type="continuationSeparator" w:id="0">
    <w:p w14:paraId="5BC41C9F" w14:textId="77777777" w:rsidR="00FF70F5" w:rsidRDefault="00FF70F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22E84"/>
    <w:multiLevelType w:val="hybridMultilevel"/>
    <w:tmpl w:val="834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17ACC"/>
    <w:multiLevelType w:val="hybridMultilevel"/>
    <w:tmpl w:val="8C38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31B24"/>
    <w:multiLevelType w:val="hybridMultilevel"/>
    <w:tmpl w:val="E4AA0D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4A4F6E"/>
    <w:multiLevelType w:val="hybridMultilevel"/>
    <w:tmpl w:val="09FEBC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4E677E"/>
    <w:multiLevelType w:val="hybridMultilevel"/>
    <w:tmpl w:val="9238E324"/>
    <w:lvl w:ilvl="0" w:tplc="1F2C2C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F1840"/>
    <w:multiLevelType w:val="hybridMultilevel"/>
    <w:tmpl w:val="702813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11" w15:restartNumberingAfterBreak="0">
    <w:nsid w:val="1DDB1374"/>
    <w:multiLevelType w:val="hybridMultilevel"/>
    <w:tmpl w:val="07268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3C2FB4"/>
    <w:multiLevelType w:val="hybridMultilevel"/>
    <w:tmpl w:val="7912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14" w15:restartNumberingAfterBreak="0">
    <w:nsid w:val="30B01276"/>
    <w:multiLevelType w:val="hybridMultilevel"/>
    <w:tmpl w:val="C8088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12929"/>
    <w:multiLevelType w:val="hybridMultilevel"/>
    <w:tmpl w:val="707E21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CC5FB0"/>
    <w:multiLevelType w:val="hybridMultilevel"/>
    <w:tmpl w:val="375E94C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4B664E"/>
    <w:multiLevelType w:val="hybridMultilevel"/>
    <w:tmpl w:val="1BCE35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594D"/>
    <w:multiLevelType w:val="hybridMultilevel"/>
    <w:tmpl w:val="E4AA0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3233EB"/>
    <w:multiLevelType w:val="hybridMultilevel"/>
    <w:tmpl w:val="DA7EB7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4B4D64"/>
    <w:multiLevelType w:val="hybridMultilevel"/>
    <w:tmpl w:val="926EFD1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D32BA"/>
    <w:multiLevelType w:val="hybridMultilevel"/>
    <w:tmpl w:val="811224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C6184"/>
    <w:multiLevelType w:val="hybridMultilevel"/>
    <w:tmpl w:val="9F9A5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6D27DD"/>
    <w:multiLevelType w:val="hybridMultilevel"/>
    <w:tmpl w:val="E7C64AB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571028"/>
    <w:multiLevelType w:val="hybridMultilevel"/>
    <w:tmpl w:val="0268A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D6394"/>
    <w:multiLevelType w:val="hybridMultilevel"/>
    <w:tmpl w:val="CAFE2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60A02"/>
    <w:multiLevelType w:val="hybridMultilevel"/>
    <w:tmpl w:val="442C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3"/>
  </w:num>
  <w:num w:numId="2" w16cid:durableId="652295346">
    <w:abstractNumId w:val="1"/>
  </w:num>
  <w:num w:numId="3" w16cid:durableId="1046369804">
    <w:abstractNumId w:val="31"/>
  </w:num>
  <w:num w:numId="4" w16cid:durableId="167138382">
    <w:abstractNumId w:val="10"/>
  </w:num>
  <w:num w:numId="5" w16cid:durableId="956839679">
    <w:abstractNumId w:val="12"/>
  </w:num>
  <w:num w:numId="6" w16cid:durableId="747657138">
    <w:abstractNumId w:val="5"/>
  </w:num>
  <w:num w:numId="7" w16cid:durableId="1989629277">
    <w:abstractNumId w:val="8"/>
  </w:num>
  <w:num w:numId="8" w16cid:durableId="44375587">
    <w:abstractNumId w:val="22"/>
  </w:num>
  <w:num w:numId="9" w16cid:durableId="1331326020">
    <w:abstractNumId w:val="15"/>
  </w:num>
  <w:num w:numId="10" w16cid:durableId="1324551606">
    <w:abstractNumId w:val="16"/>
  </w:num>
  <w:num w:numId="11" w16cid:durableId="1130903517">
    <w:abstractNumId w:val="21"/>
  </w:num>
  <w:num w:numId="12" w16cid:durableId="1288506810">
    <w:abstractNumId w:val="23"/>
  </w:num>
  <w:num w:numId="13" w16cid:durableId="1727488381">
    <w:abstractNumId w:val="26"/>
  </w:num>
  <w:num w:numId="14" w16cid:durableId="460850213">
    <w:abstractNumId w:val="17"/>
  </w:num>
  <w:num w:numId="15" w16cid:durableId="785849078">
    <w:abstractNumId w:val="9"/>
  </w:num>
  <w:num w:numId="16" w16cid:durableId="1622564992">
    <w:abstractNumId w:val="25"/>
  </w:num>
  <w:num w:numId="17" w16cid:durableId="457996765">
    <w:abstractNumId w:val="28"/>
  </w:num>
  <w:num w:numId="18" w16cid:durableId="451368573">
    <w:abstractNumId w:val="14"/>
  </w:num>
  <w:num w:numId="19" w16cid:durableId="1912737878">
    <w:abstractNumId w:val="27"/>
  </w:num>
  <w:num w:numId="20" w16cid:durableId="641229972">
    <w:abstractNumId w:val="24"/>
  </w:num>
  <w:num w:numId="21" w16cid:durableId="1777288786">
    <w:abstractNumId w:val="2"/>
  </w:num>
  <w:num w:numId="22" w16cid:durableId="33501373">
    <w:abstractNumId w:val="30"/>
  </w:num>
  <w:num w:numId="23" w16cid:durableId="1434477581">
    <w:abstractNumId w:val="13"/>
  </w:num>
  <w:num w:numId="24" w16cid:durableId="219169965">
    <w:abstractNumId w:val="4"/>
  </w:num>
  <w:num w:numId="25" w16cid:durableId="569771033">
    <w:abstractNumId w:val="6"/>
  </w:num>
  <w:num w:numId="26" w16cid:durableId="1279026762">
    <w:abstractNumId w:val="19"/>
  </w:num>
  <w:num w:numId="27" w16cid:durableId="1709795219">
    <w:abstractNumId w:val="7"/>
  </w:num>
  <w:num w:numId="28" w16cid:durableId="739719305">
    <w:abstractNumId w:val="11"/>
  </w:num>
  <w:num w:numId="29" w16cid:durableId="1010714018">
    <w:abstractNumId w:val="20"/>
  </w:num>
  <w:num w:numId="30" w16cid:durableId="1854613854">
    <w:abstractNumId w:val="18"/>
  </w:num>
  <w:num w:numId="31" w16cid:durableId="1801798329">
    <w:abstractNumId w:val="32"/>
  </w:num>
  <w:num w:numId="32" w16cid:durableId="177493671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08B8"/>
    <w:rsid w:val="000212EC"/>
    <w:rsid w:val="000236C2"/>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0B61"/>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37D"/>
    <w:rsid w:val="000D1A8F"/>
    <w:rsid w:val="000D4809"/>
    <w:rsid w:val="000E071E"/>
    <w:rsid w:val="000E1747"/>
    <w:rsid w:val="000E6772"/>
    <w:rsid w:val="000F2C70"/>
    <w:rsid w:val="000F6F21"/>
    <w:rsid w:val="0010119A"/>
    <w:rsid w:val="00101FE0"/>
    <w:rsid w:val="001026DB"/>
    <w:rsid w:val="001027B2"/>
    <w:rsid w:val="00105122"/>
    <w:rsid w:val="0010756F"/>
    <w:rsid w:val="00111E92"/>
    <w:rsid w:val="001144DC"/>
    <w:rsid w:val="00116CE5"/>
    <w:rsid w:val="0012068C"/>
    <w:rsid w:val="00123C79"/>
    <w:rsid w:val="00127219"/>
    <w:rsid w:val="00130600"/>
    <w:rsid w:val="0013116B"/>
    <w:rsid w:val="00131739"/>
    <w:rsid w:val="001336C7"/>
    <w:rsid w:val="001364B2"/>
    <w:rsid w:val="00140849"/>
    <w:rsid w:val="001408EE"/>
    <w:rsid w:val="001412B7"/>
    <w:rsid w:val="00143B77"/>
    <w:rsid w:val="00143F2E"/>
    <w:rsid w:val="001454B7"/>
    <w:rsid w:val="00145557"/>
    <w:rsid w:val="00147CD5"/>
    <w:rsid w:val="001517C7"/>
    <w:rsid w:val="00151E5F"/>
    <w:rsid w:val="001522EE"/>
    <w:rsid w:val="00152E5F"/>
    <w:rsid w:val="00153773"/>
    <w:rsid w:val="0015438D"/>
    <w:rsid w:val="001567FC"/>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4DB4"/>
    <w:rsid w:val="001C528B"/>
    <w:rsid w:val="001D0CBB"/>
    <w:rsid w:val="001D0DA4"/>
    <w:rsid w:val="001D1675"/>
    <w:rsid w:val="001D5CE5"/>
    <w:rsid w:val="001D749D"/>
    <w:rsid w:val="001E13D8"/>
    <w:rsid w:val="001E1E81"/>
    <w:rsid w:val="001F0387"/>
    <w:rsid w:val="001F16C3"/>
    <w:rsid w:val="001F1CF8"/>
    <w:rsid w:val="001F22C4"/>
    <w:rsid w:val="001F4014"/>
    <w:rsid w:val="002047CD"/>
    <w:rsid w:val="002047D4"/>
    <w:rsid w:val="002122BD"/>
    <w:rsid w:val="00212F9F"/>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456"/>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1C3F"/>
    <w:rsid w:val="00302D87"/>
    <w:rsid w:val="003043B3"/>
    <w:rsid w:val="00304FE1"/>
    <w:rsid w:val="00306758"/>
    <w:rsid w:val="003105DC"/>
    <w:rsid w:val="003109B6"/>
    <w:rsid w:val="00310BD2"/>
    <w:rsid w:val="00311442"/>
    <w:rsid w:val="003350C5"/>
    <w:rsid w:val="00335A1C"/>
    <w:rsid w:val="00336525"/>
    <w:rsid w:val="0034061A"/>
    <w:rsid w:val="003406E1"/>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5E3E"/>
    <w:rsid w:val="00376231"/>
    <w:rsid w:val="00376E3C"/>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1F34"/>
    <w:rsid w:val="003D3A94"/>
    <w:rsid w:val="003D5CFF"/>
    <w:rsid w:val="003E3AA2"/>
    <w:rsid w:val="003E5424"/>
    <w:rsid w:val="003E687D"/>
    <w:rsid w:val="003E75B6"/>
    <w:rsid w:val="003F2F79"/>
    <w:rsid w:val="003F366A"/>
    <w:rsid w:val="003F670D"/>
    <w:rsid w:val="0040154B"/>
    <w:rsid w:val="004017DC"/>
    <w:rsid w:val="00402C2F"/>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41D"/>
    <w:rsid w:val="004656AE"/>
    <w:rsid w:val="0046615D"/>
    <w:rsid w:val="004672D5"/>
    <w:rsid w:val="004679FD"/>
    <w:rsid w:val="00474888"/>
    <w:rsid w:val="00475C2B"/>
    <w:rsid w:val="00476CE9"/>
    <w:rsid w:val="00482475"/>
    <w:rsid w:val="00484173"/>
    <w:rsid w:val="00490DA8"/>
    <w:rsid w:val="00493CE1"/>
    <w:rsid w:val="00496C33"/>
    <w:rsid w:val="00496D0C"/>
    <w:rsid w:val="004A1F1C"/>
    <w:rsid w:val="004A41EF"/>
    <w:rsid w:val="004A69D2"/>
    <w:rsid w:val="004B05E8"/>
    <w:rsid w:val="004B1AAE"/>
    <w:rsid w:val="004B1C85"/>
    <w:rsid w:val="004B2C35"/>
    <w:rsid w:val="004B3124"/>
    <w:rsid w:val="004B408D"/>
    <w:rsid w:val="004B4C9A"/>
    <w:rsid w:val="004B74CC"/>
    <w:rsid w:val="004C0F48"/>
    <w:rsid w:val="004C152A"/>
    <w:rsid w:val="004C3071"/>
    <w:rsid w:val="004C7266"/>
    <w:rsid w:val="004C72E5"/>
    <w:rsid w:val="004C7392"/>
    <w:rsid w:val="004D0AE2"/>
    <w:rsid w:val="004D1B94"/>
    <w:rsid w:val="004D2BE3"/>
    <w:rsid w:val="004D2D29"/>
    <w:rsid w:val="004D335B"/>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510"/>
    <w:rsid w:val="00552A7B"/>
    <w:rsid w:val="00552A99"/>
    <w:rsid w:val="005530CC"/>
    <w:rsid w:val="00556671"/>
    <w:rsid w:val="00557401"/>
    <w:rsid w:val="00557B48"/>
    <w:rsid w:val="005600FE"/>
    <w:rsid w:val="00560FDD"/>
    <w:rsid w:val="00562306"/>
    <w:rsid w:val="00565995"/>
    <w:rsid w:val="00566326"/>
    <w:rsid w:val="00567241"/>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B7A56"/>
    <w:rsid w:val="005C0CD4"/>
    <w:rsid w:val="005C520B"/>
    <w:rsid w:val="005D0006"/>
    <w:rsid w:val="005D45F7"/>
    <w:rsid w:val="005D52EC"/>
    <w:rsid w:val="005D57A7"/>
    <w:rsid w:val="005D6E80"/>
    <w:rsid w:val="005E15FA"/>
    <w:rsid w:val="005E1A95"/>
    <w:rsid w:val="005E1D6C"/>
    <w:rsid w:val="005E3D31"/>
    <w:rsid w:val="005E58D9"/>
    <w:rsid w:val="005E5F6C"/>
    <w:rsid w:val="005E60C2"/>
    <w:rsid w:val="005F0B11"/>
    <w:rsid w:val="005F4CF5"/>
    <w:rsid w:val="005F5500"/>
    <w:rsid w:val="005F5A01"/>
    <w:rsid w:val="005F7A0E"/>
    <w:rsid w:val="005F7A68"/>
    <w:rsid w:val="00601648"/>
    <w:rsid w:val="00610BE9"/>
    <w:rsid w:val="00611B43"/>
    <w:rsid w:val="00611C2B"/>
    <w:rsid w:val="00614524"/>
    <w:rsid w:val="00614C4F"/>
    <w:rsid w:val="00615697"/>
    <w:rsid w:val="0061765C"/>
    <w:rsid w:val="00620855"/>
    <w:rsid w:val="00621B57"/>
    <w:rsid w:val="00621F4D"/>
    <w:rsid w:val="00626534"/>
    <w:rsid w:val="00631A14"/>
    <w:rsid w:val="00635837"/>
    <w:rsid w:val="00636626"/>
    <w:rsid w:val="00636D7B"/>
    <w:rsid w:val="00640C9A"/>
    <w:rsid w:val="006412FC"/>
    <w:rsid w:val="00642303"/>
    <w:rsid w:val="00643AED"/>
    <w:rsid w:val="00643EFF"/>
    <w:rsid w:val="00644476"/>
    <w:rsid w:val="00646B05"/>
    <w:rsid w:val="00647210"/>
    <w:rsid w:val="006501C7"/>
    <w:rsid w:val="006531B1"/>
    <w:rsid w:val="00653CCE"/>
    <w:rsid w:val="00656A6E"/>
    <w:rsid w:val="00661178"/>
    <w:rsid w:val="00664689"/>
    <w:rsid w:val="006664E6"/>
    <w:rsid w:val="00666C0B"/>
    <w:rsid w:val="00667076"/>
    <w:rsid w:val="00671652"/>
    <w:rsid w:val="006757A7"/>
    <w:rsid w:val="006765F4"/>
    <w:rsid w:val="006768F8"/>
    <w:rsid w:val="0067729B"/>
    <w:rsid w:val="006808DA"/>
    <w:rsid w:val="0068184E"/>
    <w:rsid w:val="00685938"/>
    <w:rsid w:val="00691791"/>
    <w:rsid w:val="0069201C"/>
    <w:rsid w:val="00692A67"/>
    <w:rsid w:val="0069473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E7EE5"/>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76216"/>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01"/>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07904"/>
    <w:rsid w:val="0081013A"/>
    <w:rsid w:val="0081180F"/>
    <w:rsid w:val="008124C2"/>
    <w:rsid w:val="008134B5"/>
    <w:rsid w:val="008134DE"/>
    <w:rsid w:val="008144EA"/>
    <w:rsid w:val="008158D9"/>
    <w:rsid w:val="00817343"/>
    <w:rsid w:val="00824EBE"/>
    <w:rsid w:val="008273C9"/>
    <w:rsid w:val="0083064B"/>
    <w:rsid w:val="00830B1F"/>
    <w:rsid w:val="00836085"/>
    <w:rsid w:val="008407B1"/>
    <w:rsid w:val="0084192D"/>
    <w:rsid w:val="0084295B"/>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12E"/>
    <w:rsid w:val="008844C2"/>
    <w:rsid w:val="00884722"/>
    <w:rsid w:val="0089138A"/>
    <w:rsid w:val="00893200"/>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550A"/>
    <w:rsid w:val="008D6AE1"/>
    <w:rsid w:val="008E0056"/>
    <w:rsid w:val="008E03A1"/>
    <w:rsid w:val="008E07A2"/>
    <w:rsid w:val="008E10F0"/>
    <w:rsid w:val="008E1449"/>
    <w:rsid w:val="008E191A"/>
    <w:rsid w:val="008E2550"/>
    <w:rsid w:val="008E4EC6"/>
    <w:rsid w:val="008E5031"/>
    <w:rsid w:val="008E5A3A"/>
    <w:rsid w:val="008E687B"/>
    <w:rsid w:val="008E6A43"/>
    <w:rsid w:val="008F19CC"/>
    <w:rsid w:val="008F24B6"/>
    <w:rsid w:val="008F4B5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012"/>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10FE"/>
    <w:rsid w:val="0099705B"/>
    <w:rsid w:val="009A01D8"/>
    <w:rsid w:val="009A18A6"/>
    <w:rsid w:val="009A5386"/>
    <w:rsid w:val="009A55AA"/>
    <w:rsid w:val="009A6925"/>
    <w:rsid w:val="009A6B8D"/>
    <w:rsid w:val="009A79E5"/>
    <w:rsid w:val="009B15B5"/>
    <w:rsid w:val="009B1FA5"/>
    <w:rsid w:val="009B5B0A"/>
    <w:rsid w:val="009B62B9"/>
    <w:rsid w:val="009B64C1"/>
    <w:rsid w:val="009C00B9"/>
    <w:rsid w:val="009C255E"/>
    <w:rsid w:val="009C463A"/>
    <w:rsid w:val="009C7D81"/>
    <w:rsid w:val="009D1C4F"/>
    <w:rsid w:val="009D6489"/>
    <w:rsid w:val="009E0421"/>
    <w:rsid w:val="009E0D87"/>
    <w:rsid w:val="009E0E57"/>
    <w:rsid w:val="009E44AD"/>
    <w:rsid w:val="009E4685"/>
    <w:rsid w:val="009E7FFA"/>
    <w:rsid w:val="009F0125"/>
    <w:rsid w:val="009F086D"/>
    <w:rsid w:val="009F180B"/>
    <w:rsid w:val="009F1C77"/>
    <w:rsid w:val="009F2187"/>
    <w:rsid w:val="009F2446"/>
    <w:rsid w:val="009F288A"/>
    <w:rsid w:val="009F3068"/>
    <w:rsid w:val="009F3AB7"/>
    <w:rsid w:val="009F43C1"/>
    <w:rsid w:val="009F45F3"/>
    <w:rsid w:val="009F58CE"/>
    <w:rsid w:val="009F64E0"/>
    <w:rsid w:val="009F66FE"/>
    <w:rsid w:val="009F79BB"/>
    <w:rsid w:val="009F7D20"/>
    <w:rsid w:val="009F7DD0"/>
    <w:rsid w:val="00A01609"/>
    <w:rsid w:val="00A026E1"/>
    <w:rsid w:val="00A07A80"/>
    <w:rsid w:val="00A1036A"/>
    <w:rsid w:val="00A13177"/>
    <w:rsid w:val="00A1471D"/>
    <w:rsid w:val="00A159B3"/>
    <w:rsid w:val="00A20495"/>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47DFA"/>
    <w:rsid w:val="00A51C5F"/>
    <w:rsid w:val="00A52CA8"/>
    <w:rsid w:val="00A5382B"/>
    <w:rsid w:val="00A53CDA"/>
    <w:rsid w:val="00A54E8C"/>
    <w:rsid w:val="00A55064"/>
    <w:rsid w:val="00A563DD"/>
    <w:rsid w:val="00A5675A"/>
    <w:rsid w:val="00A658EF"/>
    <w:rsid w:val="00A65E7F"/>
    <w:rsid w:val="00A66D16"/>
    <w:rsid w:val="00A71667"/>
    <w:rsid w:val="00A75912"/>
    <w:rsid w:val="00A7628B"/>
    <w:rsid w:val="00A77824"/>
    <w:rsid w:val="00A805B9"/>
    <w:rsid w:val="00A83354"/>
    <w:rsid w:val="00A84A25"/>
    <w:rsid w:val="00A92030"/>
    <w:rsid w:val="00A934CF"/>
    <w:rsid w:val="00A93DEE"/>
    <w:rsid w:val="00A95871"/>
    <w:rsid w:val="00A95A78"/>
    <w:rsid w:val="00AA1820"/>
    <w:rsid w:val="00AA32E9"/>
    <w:rsid w:val="00AA37FC"/>
    <w:rsid w:val="00AA3F29"/>
    <w:rsid w:val="00AA54BA"/>
    <w:rsid w:val="00AB1E8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1D10"/>
    <w:rsid w:val="00B5295B"/>
    <w:rsid w:val="00B559BB"/>
    <w:rsid w:val="00B55B9E"/>
    <w:rsid w:val="00B56AA7"/>
    <w:rsid w:val="00B648D1"/>
    <w:rsid w:val="00B66598"/>
    <w:rsid w:val="00B67B38"/>
    <w:rsid w:val="00B706ED"/>
    <w:rsid w:val="00B71F19"/>
    <w:rsid w:val="00B72388"/>
    <w:rsid w:val="00B77012"/>
    <w:rsid w:val="00B777EC"/>
    <w:rsid w:val="00B77CE0"/>
    <w:rsid w:val="00B8140B"/>
    <w:rsid w:val="00B81731"/>
    <w:rsid w:val="00B862DB"/>
    <w:rsid w:val="00B86FBF"/>
    <w:rsid w:val="00B875E8"/>
    <w:rsid w:val="00B922C1"/>
    <w:rsid w:val="00B924A3"/>
    <w:rsid w:val="00B92CF0"/>
    <w:rsid w:val="00B92DC3"/>
    <w:rsid w:val="00B959B3"/>
    <w:rsid w:val="00B96E1B"/>
    <w:rsid w:val="00BA24F8"/>
    <w:rsid w:val="00BA2E7B"/>
    <w:rsid w:val="00BA4614"/>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BF770E"/>
    <w:rsid w:val="00C019FA"/>
    <w:rsid w:val="00C01CC4"/>
    <w:rsid w:val="00C02175"/>
    <w:rsid w:val="00C04914"/>
    <w:rsid w:val="00C066D7"/>
    <w:rsid w:val="00C10454"/>
    <w:rsid w:val="00C116D7"/>
    <w:rsid w:val="00C11CAC"/>
    <w:rsid w:val="00C13224"/>
    <w:rsid w:val="00C143F3"/>
    <w:rsid w:val="00C144FF"/>
    <w:rsid w:val="00C17119"/>
    <w:rsid w:val="00C22DD7"/>
    <w:rsid w:val="00C231D3"/>
    <w:rsid w:val="00C23A4B"/>
    <w:rsid w:val="00C32D5D"/>
    <w:rsid w:val="00C3511D"/>
    <w:rsid w:val="00C36E32"/>
    <w:rsid w:val="00C3741F"/>
    <w:rsid w:val="00C40398"/>
    <w:rsid w:val="00C40EDB"/>
    <w:rsid w:val="00C42379"/>
    <w:rsid w:val="00C44328"/>
    <w:rsid w:val="00C451B7"/>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379A"/>
    <w:rsid w:val="00CC5CBB"/>
    <w:rsid w:val="00CD12E3"/>
    <w:rsid w:val="00CD3E0B"/>
    <w:rsid w:val="00CD4E05"/>
    <w:rsid w:val="00CD6CA6"/>
    <w:rsid w:val="00CD755A"/>
    <w:rsid w:val="00CD7A54"/>
    <w:rsid w:val="00CE1472"/>
    <w:rsid w:val="00CE3949"/>
    <w:rsid w:val="00CE4350"/>
    <w:rsid w:val="00CE6C73"/>
    <w:rsid w:val="00CE6DE0"/>
    <w:rsid w:val="00CE7069"/>
    <w:rsid w:val="00CE769D"/>
    <w:rsid w:val="00CF1011"/>
    <w:rsid w:val="00CF37D1"/>
    <w:rsid w:val="00CF5021"/>
    <w:rsid w:val="00CF65E4"/>
    <w:rsid w:val="00CF755A"/>
    <w:rsid w:val="00D01917"/>
    <w:rsid w:val="00D026FC"/>
    <w:rsid w:val="00D02888"/>
    <w:rsid w:val="00D05254"/>
    <w:rsid w:val="00D05B3C"/>
    <w:rsid w:val="00D06AD7"/>
    <w:rsid w:val="00D06E71"/>
    <w:rsid w:val="00D114EF"/>
    <w:rsid w:val="00D13EEE"/>
    <w:rsid w:val="00D14B77"/>
    <w:rsid w:val="00D17B0A"/>
    <w:rsid w:val="00D224DF"/>
    <w:rsid w:val="00D2331E"/>
    <w:rsid w:val="00D24715"/>
    <w:rsid w:val="00D263F1"/>
    <w:rsid w:val="00D313A3"/>
    <w:rsid w:val="00D31DD7"/>
    <w:rsid w:val="00D3218F"/>
    <w:rsid w:val="00D371A7"/>
    <w:rsid w:val="00D37AD5"/>
    <w:rsid w:val="00D452D5"/>
    <w:rsid w:val="00D452F3"/>
    <w:rsid w:val="00D45FFA"/>
    <w:rsid w:val="00D52BD4"/>
    <w:rsid w:val="00D531E0"/>
    <w:rsid w:val="00D53BAD"/>
    <w:rsid w:val="00D558C9"/>
    <w:rsid w:val="00D623A6"/>
    <w:rsid w:val="00D62F45"/>
    <w:rsid w:val="00D64A65"/>
    <w:rsid w:val="00D66952"/>
    <w:rsid w:val="00D66A5F"/>
    <w:rsid w:val="00D75CCC"/>
    <w:rsid w:val="00D774D0"/>
    <w:rsid w:val="00D81AF6"/>
    <w:rsid w:val="00D81DA1"/>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0AD"/>
    <w:rsid w:val="00DE3D66"/>
    <w:rsid w:val="00DE3E8D"/>
    <w:rsid w:val="00DE54C5"/>
    <w:rsid w:val="00DE72C7"/>
    <w:rsid w:val="00DF1C31"/>
    <w:rsid w:val="00DF26C5"/>
    <w:rsid w:val="00DF331F"/>
    <w:rsid w:val="00DF3E17"/>
    <w:rsid w:val="00DF4732"/>
    <w:rsid w:val="00DF5476"/>
    <w:rsid w:val="00DF7C83"/>
    <w:rsid w:val="00DF7F3E"/>
    <w:rsid w:val="00E0193A"/>
    <w:rsid w:val="00E059E5"/>
    <w:rsid w:val="00E106B9"/>
    <w:rsid w:val="00E10BE3"/>
    <w:rsid w:val="00E11B95"/>
    <w:rsid w:val="00E12231"/>
    <w:rsid w:val="00E14A1C"/>
    <w:rsid w:val="00E2056E"/>
    <w:rsid w:val="00E2355A"/>
    <w:rsid w:val="00E24D94"/>
    <w:rsid w:val="00E2616D"/>
    <w:rsid w:val="00E2739E"/>
    <w:rsid w:val="00E30128"/>
    <w:rsid w:val="00E30469"/>
    <w:rsid w:val="00E34EC7"/>
    <w:rsid w:val="00E419B5"/>
    <w:rsid w:val="00E447F2"/>
    <w:rsid w:val="00E47701"/>
    <w:rsid w:val="00E5019D"/>
    <w:rsid w:val="00E54932"/>
    <w:rsid w:val="00E556A4"/>
    <w:rsid w:val="00E55959"/>
    <w:rsid w:val="00E55EB5"/>
    <w:rsid w:val="00E56299"/>
    <w:rsid w:val="00E56A0E"/>
    <w:rsid w:val="00E60105"/>
    <w:rsid w:val="00E604F4"/>
    <w:rsid w:val="00E60D90"/>
    <w:rsid w:val="00E6195F"/>
    <w:rsid w:val="00E62B46"/>
    <w:rsid w:val="00E630C8"/>
    <w:rsid w:val="00E63417"/>
    <w:rsid w:val="00E64C5F"/>
    <w:rsid w:val="00E65771"/>
    <w:rsid w:val="00E6655C"/>
    <w:rsid w:val="00E6736E"/>
    <w:rsid w:val="00E67D9B"/>
    <w:rsid w:val="00E70CC0"/>
    <w:rsid w:val="00E73617"/>
    <w:rsid w:val="00E74F7C"/>
    <w:rsid w:val="00E750C3"/>
    <w:rsid w:val="00E76928"/>
    <w:rsid w:val="00E819FF"/>
    <w:rsid w:val="00E81AE3"/>
    <w:rsid w:val="00E847D0"/>
    <w:rsid w:val="00E9359E"/>
    <w:rsid w:val="00E9657C"/>
    <w:rsid w:val="00EA04A3"/>
    <w:rsid w:val="00EA61F3"/>
    <w:rsid w:val="00EA68E6"/>
    <w:rsid w:val="00EA69BA"/>
    <w:rsid w:val="00EA73C1"/>
    <w:rsid w:val="00EB0962"/>
    <w:rsid w:val="00EB0A11"/>
    <w:rsid w:val="00EB151A"/>
    <w:rsid w:val="00EB54F6"/>
    <w:rsid w:val="00EB5BA6"/>
    <w:rsid w:val="00EB6C46"/>
    <w:rsid w:val="00EB6F37"/>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2DD8"/>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2F0"/>
    <w:rsid w:val="00F43CD1"/>
    <w:rsid w:val="00F47A01"/>
    <w:rsid w:val="00F50376"/>
    <w:rsid w:val="00F51387"/>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09FD"/>
    <w:rsid w:val="00FD58A6"/>
    <w:rsid w:val="00FE04E1"/>
    <w:rsid w:val="00FE0720"/>
    <w:rsid w:val="00FE29E4"/>
    <w:rsid w:val="00FE5E12"/>
    <w:rsid w:val="00FF005B"/>
    <w:rsid w:val="00FF00EB"/>
    <w:rsid w:val="00FF1590"/>
    <w:rsid w:val="00FF4442"/>
    <w:rsid w:val="00FF4C9F"/>
    <w:rsid w:val="00FF53F9"/>
    <w:rsid w:val="00FF6C7B"/>
    <w:rsid w:val="00FF7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DB4"/>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11">
    <w:name w:val="标题 11"/>
    <w:basedOn w:val="Normal"/>
    <w:next w:val="Normal"/>
    <w:uiPriority w:val="99"/>
    <w:qFormat/>
    <w:rsid w:val="00D66A5F"/>
    <w:pPr>
      <w:numPr>
        <w:numId w:val="23"/>
      </w:numPr>
      <w:outlineLvl w:val="0"/>
    </w:pPr>
    <w:rPr>
      <w:rFonts w:ascii="Arial" w:eastAsia="SimHei" w:hAnsi="Arial"/>
      <w:b/>
      <w:bCs/>
      <w:sz w:val="30"/>
      <w:szCs w:val="30"/>
      <w:lang w:val="zh-CN"/>
    </w:rPr>
  </w:style>
  <w:style w:type="paragraph" w:customStyle="1" w:styleId="21">
    <w:name w:val="标题 21"/>
    <w:basedOn w:val="Normal"/>
    <w:next w:val="Normal"/>
    <w:qFormat/>
    <w:rsid w:val="00D66A5F"/>
    <w:pPr>
      <w:keepNext/>
      <w:keepLines/>
      <w:numPr>
        <w:ilvl w:val="1"/>
        <w:numId w:val="23"/>
      </w:numPr>
      <w:tabs>
        <w:tab w:val="left" w:pos="432"/>
      </w:tabs>
      <w:spacing w:before="260" w:after="260" w:line="415" w:lineRule="auto"/>
      <w:outlineLvl w:val="1"/>
    </w:pPr>
    <w:rPr>
      <w:rFonts w:ascii="Cambria" w:hAnsi="Cambria"/>
      <w:sz w:val="32"/>
      <w:szCs w:val="32"/>
    </w:rPr>
  </w:style>
  <w:style w:type="paragraph" w:customStyle="1" w:styleId="31">
    <w:name w:val="标题 31"/>
    <w:basedOn w:val="21"/>
    <w:next w:val="Normal"/>
    <w:uiPriority w:val="9"/>
    <w:unhideWhenUsed/>
    <w:qFormat/>
    <w:rsid w:val="00D66A5F"/>
    <w:pPr>
      <w:numPr>
        <w:ilvl w:val="2"/>
      </w:numPr>
      <w:outlineLvl w:val="2"/>
    </w:pPr>
  </w:style>
  <w:style w:type="paragraph" w:customStyle="1" w:styleId="41">
    <w:name w:val="标题 41"/>
    <w:basedOn w:val="31"/>
    <w:next w:val="Normal"/>
    <w:qFormat/>
    <w:rsid w:val="00D66A5F"/>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Normal"/>
    <w:qFormat/>
    <w:rsid w:val="00D66A5F"/>
    <w:pPr>
      <w:numPr>
        <w:ilvl w:val="4"/>
      </w:numPr>
      <w:outlineLvl w:val="4"/>
    </w:pPr>
    <w:rPr>
      <w:sz w:val="24"/>
      <w:szCs w:val="24"/>
    </w:rPr>
  </w:style>
  <w:style w:type="paragraph" w:customStyle="1" w:styleId="61">
    <w:name w:val="标题 61"/>
    <w:basedOn w:val="Normal"/>
    <w:next w:val="Normal"/>
    <w:uiPriority w:val="9"/>
    <w:semiHidden/>
    <w:unhideWhenUsed/>
    <w:qFormat/>
    <w:rsid w:val="00D66A5F"/>
    <w:pPr>
      <w:keepNext/>
      <w:keepLines/>
      <w:numPr>
        <w:ilvl w:val="5"/>
        <w:numId w:val="23"/>
      </w:numPr>
      <w:spacing w:before="240" w:after="64" w:line="319" w:lineRule="auto"/>
      <w:outlineLvl w:val="5"/>
    </w:pPr>
    <w:rPr>
      <w:rFonts w:asciiTheme="majorHAnsi" w:eastAsiaTheme="majorEastAsia" w:hAnsiTheme="majorHAnsi" w:cstheme="majorBidi"/>
      <w:b/>
      <w:bCs/>
    </w:rPr>
  </w:style>
  <w:style w:type="paragraph" w:customStyle="1" w:styleId="71">
    <w:name w:val="标题 71"/>
    <w:basedOn w:val="Normal"/>
    <w:next w:val="Normal"/>
    <w:uiPriority w:val="9"/>
    <w:semiHidden/>
    <w:unhideWhenUsed/>
    <w:qFormat/>
    <w:rsid w:val="00D66A5F"/>
    <w:pPr>
      <w:keepNext/>
      <w:keepLines/>
      <w:numPr>
        <w:ilvl w:val="6"/>
        <w:numId w:val="23"/>
      </w:numPr>
      <w:spacing w:before="240" w:after="64" w:line="319" w:lineRule="auto"/>
      <w:outlineLvl w:val="6"/>
    </w:pPr>
    <w:rPr>
      <w:b/>
      <w:bCs/>
    </w:rPr>
  </w:style>
  <w:style w:type="paragraph" w:customStyle="1" w:styleId="81">
    <w:name w:val="标题 81"/>
    <w:basedOn w:val="Normal"/>
    <w:next w:val="Normal"/>
    <w:uiPriority w:val="9"/>
    <w:semiHidden/>
    <w:unhideWhenUsed/>
    <w:qFormat/>
    <w:rsid w:val="00D66A5F"/>
    <w:pPr>
      <w:keepNext/>
      <w:keepLines/>
      <w:numPr>
        <w:ilvl w:val="7"/>
        <w:numId w:val="23"/>
      </w:numPr>
      <w:spacing w:before="240" w:after="64" w:line="319" w:lineRule="auto"/>
      <w:outlineLvl w:val="7"/>
    </w:pPr>
    <w:rPr>
      <w:rFonts w:asciiTheme="majorHAnsi" w:eastAsiaTheme="majorEastAsia" w:hAnsiTheme="majorHAnsi" w:cstheme="majorBidi"/>
    </w:rPr>
  </w:style>
  <w:style w:type="paragraph" w:customStyle="1" w:styleId="91">
    <w:name w:val="标题 91"/>
    <w:basedOn w:val="Normal"/>
    <w:next w:val="Normal"/>
    <w:uiPriority w:val="9"/>
    <w:semiHidden/>
    <w:unhideWhenUsed/>
    <w:qFormat/>
    <w:rsid w:val="00D66A5F"/>
    <w:pPr>
      <w:keepNext/>
      <w:keepLines/>
      <w:numPr>
        <w:ilvl w:val="8"/>
        <w:numId w:val="23"/>
      </w:numPr>
      <w:spacing w:before="240" w:after="64" w:line="319" w:lineRule="auto"/>
      <w:outlineLvl w:val="8"/>
    </w:pPr>
    <w:rPr>
      <w:rFonts w:asciiTheme="majorHAnsi" w:eastAsiaTheme="majorEastAsia" w:hAnsiTheme="majorHAnsi" w:cstheme="majorBidi"/>
      <w:sz w:val="21"/>
      <w:szCs w:val="21"/>
    </w:rPr>
  </w:style>
  <w:style w:type="paragraph" w:customStyle="1" w:styleId="3GPPAgreements">
    <w:name w:val="3GPP Agreements"/>
    <w:basedOn w:val="Normal"/>
    <w:link w:val="3GPPAgreementsChar"/>
    <w:qFormat/>
    <w:rsid w:val="00DE30AD"/>
    <w:pPr>
      <w:numPr>
        <w:numId w:val="29"/>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DE30AD"/>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2023-10-26T23:30:00Z</dcterms:created>
  <dcterms:modified xsi:type="dcterms:W3CDTF">2023-11-02T18:32:00Z</dcterms:modified>
  <cp:category/>
</cp:coreProperties>
</file>